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50"/>
      </w:pPr>
      <w:r>
        <w:rPr>
          <w:rFonts w:ascii="Calibri" w:cs="Calibri" w:eastAsia="Calibri" w:hAnsi="Calibri"/>
          <w:b/>
          <w:bCs/>
          <w:color w:val="0F5C50"/>
          <w:sz w:val="36"/>
          <w:szCs w:val="36"/>
        </w:rPr>
        <w:t xml:space="preserve">Terms of Sale and Website Terms of Use</w:t>
      </w:r>
    </w:p>
    <w:p>
      <w:pPr>
        <w:spacing w:after="20" w:line="258"/>
      </w:pPr>
      <w:r>
        <w:rPr>
          <w:rFonts w:ascii="Calibri" w:cs="Calibri" w:eastAsia="Calibri" w:hAnsi="Calibri"/>
          <w:b/>
          <w:bCs/>
          <w:color w:val="0F5C50"/>
          <w:sz w:val="19"/>
          <w:szCs w:val="19"/>
        </w:rPr>
        <w:t>Subdivision Checker  ·  Forge BC Pty Ltd (ABN 11 669 059 054)  ·  Version 1.3 · 13 October 2026</w:t>
      </w:r>
    </w:p>
    <w:p>
      <w:pPr>
        <w:pBdr>
          <w:bottom w:val="single" w:color="D6DEE3" w:sz="6" w:space="8"/>
        </w:pBdr>
        <w:spacing w:after="160" w:before="140"/>
      </w:pPr>
      <w:r>
        <w:rPr>
          <w:sz w:val="2"/>
          <w:szCs w:val="2"/>
        </w:rPr>
        <w:t xml:space="preserve"/>
      </w:r>
    </w:p>
    <w:p>
      <w:pPr>
        <w:spacing w:after="120" w:line="258"/>
      </w:pPr>
      <w:r>
        <w:rPr>
          <w:rFonts w:ascii="Calibri" w:cs="Calibri" w:eastAsia="Calibri" w:hAnsi="Calibri"/>
          <w:color w:val="333F46"/>
          <w:sz w:val="19"/>
          <w:szCs w:val="19"/>
        </w:rPr>
        <w:t xml:space="preserve">These terms apply when you buy a report from subdivisionchecker.com.au and when you use the website. Please read them before you order. By placing an order you agree to them.</w:t>
      </w:r>
    </w:p>
    <w:p>
      <w:pPr>
        <w:spacing w:after="120" w:line="258"/>
      </w:pPr>
      <w:r>
        <w:rPr>
          <w:rFonts w:ascii="Calibri" w:cs="Calibri" w:eastAsia="Calibri" w:hAnsi="Calibri"/>
          <w:color w:val="333F46"/>
          <w:sz w:val="19"/>
          <w:szCs w:val="19"/>
        </w:rPr>
        <w:t xml:space="preserve">In these terms, </w:t>
      </w:r>
      <w:r>
        <w:rPr>
          <w:rFonts w:ascii="Calibri" w:cs="Calibri" w:eastAsia="Calibri" w:hAnsi="Calibri"/>
          <w:b/>
          <w:bCs/>
          <w:color w:val="333F46"/>
          <w:sz w:val="19"/>
          <w:szCs w:val="19"/>
        </w:rPr>
        <w:t xml:space="preserve">we</w:t>
      </w:r>
      <w:r>
        <w:rPr>
          <w:rFonts w:ascii="Calibri" w:cs="Calibri" w:eastAsia="Calibri" w:hAnsi="Calibri"/>
          <w:color w:val="333F46"/>
          <w:sz w:val="19"/>
          <w:szCs w:val="19"/>
        </w:rPr>
        <w:t xml:space="preserve">, </w:t>
      </w:r>
      <w:r>
        <w:rPr>
          <w:rFonts w:ascii="Calibri" w:cs="Calibri" w:eastAsia="Calibri" w:hAnsi="Calibri"/>
          <w:b/>
          <w:bCs/>
          <w:color w:val="333F46"/>
          <w:sz w:val="19"/>
          <w:szCs w:val="19"/>
        </w:rPr>
        <w:t xml:space="preserve">us</w:t>
      </w:r>
      <w:r>
        <w:rPr>
          <w:rFonts w:ascii="Calibri" w:cs="Calibri" w:eastAsia="Calibri" w:hAnsi="Calibri"/>
          <w:color w:val="333F46"/>
          <w:sz w:val="19"/>
          <w:szCs w:val="19"/>
        </w:rPr>
        <w:t xml:space="preserve"> and </w:t>
      </w:r>
      <w:r>
        <w:rPr>
          <w:rFonts w:ascii="Calibri" w:cs="Calibri" w:eastAsia="Calibri" w:hAnsi="Calibri"/>
          <w:b/>
          <w:bCs/>
          <w:color w:val="333F46"/>
          <w:sz w:val="19"/>
          <w:szCs w:val="19"/>
        </w:rPr>
        <w:t xml:space="preserve">our</w:t>
      </w:r>
      <w:r>
        <w:rPr>
          <w:rFonts w:ascii="Calibri" w:cs="Calibri" w:eastAsia="Calibri" w:hAnsi="Calibri"/>
          <w:color w:val="333F46"/>
          <w:sz w:val="19"/>
          <w:szCs w:val="19"/>
        </w:rPr>
        <w:t xml:space="preserve"> mean Forge BC Pty Ltd (ABN 11 669 059 054) of PO Box 4419, Baldivis WA 6171, trading as Subdivision Checker. </w:t>
      </w:r>
      <w:r>
        <w:rPr>
          <w:rFonts w:ascii="Calibri" w:cs="Calibri" w:eastAsia="Calibri" w:hAnsi="Calibri"/>
          <w:b/>
          <w:bCs/>
          <w:color w:val="333F46"/>
          <w:sz w:val="19"/>
          <w:szCs w:val="19"/>
        </w:rPr>
        <w:t xml:space="preserve">You</w:t>
      </w:r>
      <w:r>
        <w:rPr>
          <w:rFonts w:ascii="Calibri" w:cs="Calibri" w:eastAsia="Calibri" w:hAnsi="Calibri"/>
          <w:color w:val="333F46"/>
          <w:sz w:val="19"/>
          <w:szCs w:val="19"/>
        </w:rPr>
        <w:t xml:space="preserve"> means the person who places the order.</w:t>
      </w:r>
    </w:p>
    <w:p>
      <w:pPr>
        <w:pStyle w:val="Heading1"/>
        <w:spacing w:after="130" w:before="280"/>
      </w:pPr>
      <w:r>
        <w:rPr>
          <w:rFonts w:ascii="Calibri" w:cs="Calibri" w:eastAsia="Calibri" w:hAnsi="Calibri"/>
          <w:b/>
          <w:bCs/>
          <w:color w:val="0F5C50"/>
          <w:sz w:val="24"/>
          <w:szCs w:val="24"/>
        </w:rPr>
        <w:t xml:space="preserve">1. Your rights under the Australian Consumer Law</w:t>
      </w:r>
    </w:p>
    <w:p>
      <w:pPr>
        <w:pBdr>
          <w:top w:val="single" w:color="0F5C50" w:sz="6" w:space="10"/>
          <w:bottom w:val="single" w:color="0F5C50" w:sz="6" w:space="10"/>
          <w:left w:val="single" w:color="0F5C50" w:sz="18" w:space="10"/>
          <w:right w:val="single" w:color="0F5C50" w:sz="6" w:space="10"/>
        </w:pBdr>
        <w:shd w:fill="EEF4F2" w:val="clear"/>
        <w:spacing w:after="150" w:before="150" w:line="258"/>
        <w:ind w:left="120" w:right="120"/>
      </w:pPr>
      <w:r>
        <w:rPr>
          <w:rFonts w:ascii="Calibri" w:cs="Calibri" w:eastAsia="Calibri" w:hAnsi="Calibri"/>
          <w:b/>
          <w:bCs/>
          <w:color w:val="333F46"/>
          <w:sz w:val="19"/>
          <w:szCs w:val="19"/>
        </w:rPr>
        <w:t xml:space="preserve">Under the Australian Consumer Law, our services come with guarantees that we cannot exclude. Nothing in these terms excludes, restricts or modifies any guarantee, right or remedy you have under the Australian Consumer Law or any other law that cannot lawfully be excluded, restricted or modified. If anything in these terms is inconsistent with those rights, those rights prevail and the inconsistent part does not apply.</w:t>
      </w:r>
    </w:p>
    <w:p>
      <w:pPr>
        <w:spacing w:after="120" w:line="258"/>
      </w:pPr>
      <w:r>
        <w:rPr>
          <w:rFonts w:ascii="Calibri" w:cs="Calibri" w:eastAsia="Calibri" w:hAnsi="Calibri"/>
          <w:color w:val="333F46"/>
          <w:sz w:val="19"/>
          <w:szCs w:val="19"/>
        </w:rPr>
        <w:t xml:space="preserve">Every limitation, exclusion and qualification anywhere in these terms is subject to this clause 1. Where these terms say we are not liable for something, or limit what we are responsible for, that never applies to your consumer guarantee rights.</w:t>
      </w:r>
    </w:p>
    <w:p>
      <w:pPr>
        <w:spacing w:after="120" w:line="258"/>
      </w:pPr>
      <w:r>
        <w:rPr>
          <w:rFonts w:ascii="Calibri" w:cs="Calibri" w:eastAsia="Calibri" w:hAnsi="Calibri"/>
          <w:color w:val="333F46"/>
          <w:sz w:val="19"/>
          <w:szCs w:val="19"/>
        </w:rPr>
        <w:t xml:space="preserve">Those rights include, among other things, that our services will be provided with due care and skill, will be reasonably fit for any purpose you told us about before you ordered, and will be supplied within a reasonable time.</w:t>
      </w:r>
    </w:p>
    <w:p>
      <w:pPr>
        <w:pStyle w:val="Heading1"/>
        <w:spacing w:after="130" w:before="280"/>
      </w:pPr>
      <w:r>
        <w:rPr>
          <w:rFonts w:ascii="Calibri" w:cs="Calibri" w:eastAsia="Calibri" w:hAnsi="Calibri"/>
          <w:b/>
          <w:bCs/>
          <w:color w:val="0F5C50"/>
          <w:sz w:val="24"/>
          <w:szCs w:val="24"/>
        </w:rPr>
        <w:t>2. What Subdivision Checker is</w:t>
      </w:r>
    </w:p>
    <w:p>
      <w:pPr>
        <w:spacing w:after="120" w:line="258"/>
      </w:pPr>
      <w:r>
        <w:rPr>
          <w:rFonts w:ascii="Calibri" w:cs="Calibri" w:eastAsia="Calibri" w:hAnsi="Calibri"/>
          <w:color w:val="333F46"/>
          <w:sz w:val="19"/>
          <w:szCs w:val="19"/>
        </w:rPr>
        <w:t>Subdivision Checker produces a written report about a single property address you nominate. The report gathers and sets out information that bears on whether that property might be capable of being subdivided, and what would stand in the way. That information comes from public sources — planning schemes and instruments, government spatial data and registers, and publicly available legislation — and from lot boundary and building data licensed to us by Geoscape Australia.</w:t>
      </w:r>
    </w:p>
    <w:p>
      <w:pPr>
        <w:spacing w:after="120" w:line="258"/>
      </w:pPr>
      <w:r>
        <w:rPr>
          <w:rFonts w:ascii="Calibri" w:cs="Calibri" w:eastAsia="Calibri" w:hAnsi="Calibri"/>
          <w:color w:val="333F46"/>
          <w:sz w:val="19"/>
          <w:szCs w:val="19"/>
        </w:rPr>
        <w:t xml:space="preserve">The report is a starting point. It is designed to help you decide whether your idea is worth taking to a qualified professional, and to tell you what to ask them.</w:t>
      </w:r>
    </w:p>
    <w:p>
      <w:pPr>
        <w:pStyle w:val="Heading2"/>
        <w:spacing w:after="90" w:before="180"/>
      </w:pPr>
      <w:r>
        <w:rPr>
          <w:rFonts w:ascii="Calibri" w:cs="Calibri" w:eastAsia="Calibri" w:hAnsi="Calibri"/>
          <w:b/>
          <w:bCs/>
          <w:color w:val="333F46"/>
          <w:sz w:val="20"/>
          <w:szCs w:val="20"/>
        </w:rPr>
        <w:t>Two products: the Report and the Snapshot</w:t>
      </w:r>
    </w:p>
    <w:p>
      <w:pPr>
        <w:spacing w:after="120" w:line="258"/>
      </w:pPr>
      <w:r>
        <w:rPr>
          <w:rFonts w:ascii="Calibri" w:cs="Calibri" w:eastAsia="Calibri" w:hAnsi="Calibri"/>
          <w:color w:val="333F46"/>
          <w:sz w:val="19"/>
          <w:szCs w:val="19"/>
        </w:rPr>
        <w:t>We offer two products for a single property address. The Subdivision Potential Report ($199.00) is our full report. The Subdivision Snapshot ($39.00) is a shortened form of it: it sets out the indicative subdivision potential, a colour-coded summary of the constraints identified across the areas checked (planning, heritage, environment, bushfire, flooding, servicing, contamination and title), the site and locality, the planning and zoning position, and the measured lot dimensions.</w:t>
      </w:r>
    </w:p>
    <w:p>
      <w:pPr>
        <w:spacing w:after="120" w:line="258"/>
      </w:pPr>
      <w:r>
        <w:rPr>
          <w:rFonts w:ascii="Calibri" w:cs="Calibri" w:eastAsia="Calibri" w:hAnsi="Calibri"/>
          <w:color w:val="333F46"/>
          <w:sz w:val="19"/>
          <w:szCs w:val="19"/>
        </w:rPr>
        <w:t>A Snapshot does not include the matters only the full report sets out: the detail of each constraint and what it means for the property, the lot count and layouts tested, other ways to add a dwelling, the approval pathway, recommended next steps, indicative costs, or the referral offer. A Snapshot being shorter than the full report is what you are buying, and is not a defect in it.</w:t>
      </w:r>
    </w:p>
    <w:p>
      <w:pPr>
        <w:spacing w:after="120" w:line="258"/>
      </w:pPr>
      <w:r>
        <w:rPr>
          <w:rFonts w:ascii="Calibri" w:cs="Calibri" w:eastAsia="Calibri" w:hAnsi="Calibri"/>
          <w:color w:val="333F46"/>
          <w:sz w:val="19"/>
          <w:szCs w:val="19"/>
        </w:rPr>
        <w:t>In these terms, report includes a Snapshot unless a clause says otherwise. Everything in these terms about what a report is, what it is not and how it is produced applies to a Snapshot in the same way.</w:t>
      </w:r>
    </w:p>
    <w:p>
      <w:pPr>
        <w:pStyle w:val="Heading2"/>
        <w:spacing w:after="90" w:before="180"/>
      </w:pPr>
      <w:r>
        <w:rPr>
          <w:rFonts w:ascii="Calibri" w:cs="Calibri" w:eastAsia="Calibri" w:hAnsi="Calibri"/>
          <w:b/>
          <w:bCs/>
          <w:color w:val="333F46"/>
          <w:sz w:val="20"/>
          <w:szCs w:val="20"/>
        </w:rPr>
        <w:t xml:space="preserve">What it is not</w:t>
      </w:r>
    </w:p>
    <w:p>
      <w:pPr>
        <w:pBdr>
          <w:top w:val="single" w:color="0F5C50" w:sz="6" w:space="10"/>
          <w:bottom w:val="single" w:color="0F5C50" w:sz="6" w:space="10"/>
          <w:left w:val="single" w:color="0F5C50" w:sz="18" w:space="10"/>
          <w:right w:val="single" w:color="0F5C50" w:sz="6" w:space="10"/>
        </w:pBdr>
        <w:shd w:fill="EEF4F2" w:val="clear"/>
        <w:spacing w:after="150" w:before="150" w:line="258"/>
        <w:ind w:left="120" w:right="120"/>
      </w:pPr>
      <w:r>
        <w:rPr>
          <w:rFonts w:ascii="Calibri" w:cs="Calibri" w:eastAsia="Calibri" w:hAnsi="Calibri"/>
          <w:b/>
          <w:bCs/>
          <w:color w:val="333F46"/>
          <w:sz w:val="19"/>
          <w:szCs w:val="19"/>
        </w:rPr>
        <w:t xml:space="preserve">The report is not legal advice, planning advice, surveying advice, financial advice or valuation advice. </w:t>
      </w:r>
      <w:r>
        <w:rPr>
          <w:rFonts w:ascii="Calibri" w:cs="Calibri" w:eastAsia="Calibri" w:hAnsi="Calibri"/>
          <w:color w:val="333F46"/>
          <w:sz w:val="19"/>
          <w:szCs w:val="19"/>
        </w:rPr>
        <w:t xml:space="preserve">We are not a law practice and we do not hold an Australian practising certificate. We are not licensed surveyors and we do not carry out surveys. We are not town planners and we are not a licensed real estate agency. The report is not an approval, and it is not a prediction or assurance that any approval will be granted by any authority.</w:t>
      </w:r>
    </w:p>
    <w:p>
      <w:pPr>
        <w:spacing w:after="120" w:line="258"/>
      </w:pPr>
      <w:r>
        <w:rPr>
          <w:rFonts w:ascii="Calibri" w:cs="Calibri" w:eastAsia="Calibri" w:hAnsi="Calibri"/>
          <w:color w:val="333F46"/>
          <w:sz w:val="19"/>
          <w:szCs w:val="19"/>
        </w:rPr>
        <w:t xml:space="preserve">A decision to subdivide land is a significant financial decision. Before you act on anything in the report, you should obtain your own professional advice from a licensed surveyor, a town planner, and a solicitor or licensed settlement agent as appropriate, and you should confirm the position with the relevant local government and state authority.</w:t>
      </w:r>
    </w:p>
    <w:p>
      <w:pPr>
        <w:pStyle w:val="Heading1"/>
        <w:spacing w:after="130" w:before="280"/>
      </w:pPr>
      <w:r>
        <w:rPr>
          <w:rFonts w:ascii="Calibri" w:cs="Calibri" w:eastAsia="Calibri" w:hAnsi="Calibri"/>
          <w:b/>
          <w:bCs/>
          <w:color w:val="0F5C50"/>
          <w:sz w:val="24"/>
          <w:szCs w:val="24"/>
        </w:rPr>
        <w:t xml:space="preserve">3. How the report is produced</w:t>
      </w:r>
    </w:p>
    <w:p>
      <w:pPr>
        <w:pBdr>
          <w:top w:val="single" w:color="0F5C50" w:sz="6" w:space="10"/>
          <w:bottom w:val="single" w:color="0F5C50" w:sz="6" w:space="10"/>
          <w:left w:val="single" w:color="0F5C50" w:sz="18" w:space="10"/>
          <w:right w:val="single" w:color="0F5C50" w:sz="6" w:space="10"/>
        </w:pBdr>
        <w:shd w:fill="EEF4F2" w:val="clear"/>
        <w:spacing w:after="150" w:before="150" w:line="258"/>
        <w:ind w:left="120" w:right="120"/>
      </w:pPr>
      <w:r>
        <w:rPr>
          <w:rFonts w:ascii="Calibri" w:cs="Calibri" w:eastAsia="Calibri" w:hAnsi="Calibri"/>
          <w:b/>
          <w:bCs/>
          <w:color w:val="333F46"/>
          <w:sz w:val="19"/>
          <w:szCs w:val="19"/>
        </w:rPr>
        <w:t xml:space="preserve">Your report is produced by an automated system that uses artificial intelligence models to search public sources and assemble the report. It is not written or reviewed by a licensed town planner, surveyor or lawyer before it is sent to you.</w:t>
      </w:r>
    </w:p>
    <w:p>
      <w:pPr>
        <w:spacing w:after="120" w:line="258"/>
      </w:pPr>
      <w:r>
        <w:rPr>
          <w:rFonts w:ascii="Calibri" w:cs="Calibri" w:eastAsia="Calibri" w:hAnsi="Calibri"/>
          <w:color w:val="333F46"/>
          <w:sz w:val="19"/>
          <w:szCs w:val="19"/>
        </w:rPr>
        <w:t xml:space="preserve">Automated systems of this kind can misread source material, can miss information, and can state things that are not correct. We have built checks into the process to reduce that risk, and reports that fail those checks are held rather than sent. Those checks reduce the risk. They do not remove it.</w:t>
      </w:r>
    </w:p>
    <w:p>
      <w:pPr>
        <w:spacing w:after="120" w:line="258"/>
      </w:pPr>
      <w:r>
        <w:rPr>
          <w:rFonts w:ascii="Calibri" w:cs="Calibri" w:eastAsia="Calibri" w:hAnsi="Calibri"/>
          <w:b/>
          <w:bCs/>
          <w:color w:val="333F46"/>
          <w:sz w:val="19"/>
          <w:szCs w:val="19"/>
        </w:rPr>
        <w:t xml:space="preserve">For that reason, every material finding in your report should be confirmed with the relevant authority, or with a qualified professional, before you act on it. </w:t>
      </w:r>
      <w:r>
        <w:rPr>
          <w:rFonts w:ascii="Calibri" w:cs="Calibri" w:eastAsia="Calibri" w:hAnsi="Calibri"/>
          <w:color w:val="333F46"/>
          <w:sz w:val="19"/>
          <w:szCs w:val="19"/>
        </w:rPr>
        <w:t xml:space="preserve">The report tells you which source each finding came from so that you can do this.</w:t>
      </w:r>
    </w:p>
    <w:p>
      <w:pPr>
        <w:pStyle w:val="Heading1"/>
        <w:spacing w:after="130" w:before="280"/>
      </w:pPr>
      <w:r>
        <w:rPr>
          <w:rFonts w:ascii="Calibri" w:cs="Calibri" w:eastAsia="Calibri" w:hAnsi="Calibri"/>
          <w:b/>
          <w:bCs/>
          <w:color w:val="0F5C50"/>
          <w:sz w:val="24"/>
          <w:szCs w:val="24"/>
        </w:rPr>
        <w:t xml:space="preserve">4. The scope statement inside your report</w:t>
      </w:r>
    </w:p>
    <w:p>
      <w:pPr>
        <w:spacing w:after="120" w:line="258"/>
      </w:pPr>
      <w:r>
        <w:rPr>
          <w:rFonts w:ascii="Calibri" w:cs="Calibri" w:eastAsia="Calibri" w:hAnsi="Calibri"/>
          <w:color w:val="333F46"/>
          <w:sz w:val="19"/>
          <w:szCs w:val="19"/>
        </w:rPr>
        <w:t xml:space="preserve">Every report contains a section headed Terms, Scope and Limitations. It records what was and was not done for your specific property — which sources were searched, which matters could not be resolved from public information, and what remains for a professional to confirm.</w:t>
      </w:r>
    </w:p>
    <w:p>
      <w:pPr>
        <w:spacing w:after="120" w:line="258"/>
      </w:pPr>
      <w:r>
        <w:rPr>
          <w:rFonts w:ascii="Calibri" w:cs="Calibri" w:eastAsia="Calibri" w:hAnsi="Calibri"/>
          <w:b/>
          <w:bCs/>
          <w:color w:val="333F46"/>
          <w:sz w:val="19"/>
          <w:szCs w:val="19"/>
        </w:rPr>
        <w:t xml:space="preserve">That section is a description of the work we did on your property. It is not a set of contract terms. </w:t>
      </w:r>
      <w:r>
        <w:rPr>
          <w:rFonts w:ascii="Calibri" w:cs="Calibri" w:eastAsia="Calibri" w:hAnsi="Calibri"/>
          <w:color w:val="333F46"/>
          <w:sz w:val="19"/>
          <w:szCs w:val="19"/>
        </w:rPr>
        <w:t xml:space="preserve">It does not add to, vary or limit these terms, and it does not add to, vary or limit any right you have under clause 1. The only terms that apply to your order are these terms, in the version published on the website when you placed your order. If anything in the report's scope section appears to limit your rights, it has no effect.</w:t>
      </w:r>
    </w:p>
    <w:p>
      <w:pPr>
        <w:pStyle w:val="Heading1"/>
        <w:spacing w:after="130" w:before="280"/>
      </w:pPr>
      <w:r>
        <w:rPr>
          <w:rFonts w:ascii="Calibri" w:cs="Calibri" w:eastAsia="Calibri" w:hAnsi="Calibri"/>
          <w:b/>
          <w:bCs/>
          <w:color w:val="0F5C50"/>
          <w:sz w:val="24"/>
          <w:szCs w:val="24"/>
        </w:rPr>
        <w:t xml:space="preserve">5. What the report does and does not cover</w:t>
      </w:r>
    </w:p>
    <w:p>
      <w:pPr>
        <w:spacing w:after="120" w:line="258"/>
      </w:pPr>
      <w:r>
        <w:rPr>
          <w:rFonts w:ascii="Calibri" w:cs="Calibri" w:eastAsia="Calibri" w:hAnsi="Calibri"/>
          <w:color w:val="333F46"/>
          <w:sz w:val="19"/>
          <w:szCs w:val="19"/>
        </w:rPr>
        <w:t xml:space="preserve">The report covers what we can establish from the public sources available for the relevant state or territory at the time it is produced. What is publicly available differs greatly between jurisdictions, and some matters cannot be searched online anywhere.</w:t>
      </w:r>
    </w:p>
    <w:p>
      <w:pPr>
        <w:spacing w:after="120" w:line="258"/>
      </w:pPr>
      <w:r>
        <w:rPr>
          <w:rFonts w:ascii="Calibri" w:cs="Calibri" w:eastAsia="Calibri" w:hAnsi="Calibri"/>
          <w:color w:val="333F46"/>
          <w:sz w:val="19"/>
          <w:szCs w:val="19"/>
        </w:rPr>
        <w:t xml:space="preserve">Your report will cover the matters described in this clause. It does not include and does not substitute for:</w:t>
      </w:r>
    </w:p>
    <w:p>
      <w:pPr>
        <w:pStyle w:val="ListParagraph"/>
        <w:numPr>
          <w:ilvl w:val="0"/>
          <w:numId w:val="2"/>
        </w:numPr>
        <w:spacing w:after="70" w:line="258"/>
      </w:pPr>
      <w:r>
        <w:rPr>
          <w:rFonts w:ascii="Calibri" w:cs="Calibri" w:eastAsia="Calibri" w:hAnsi="Calibri"/>
          <w:color w:val="333F46"/>
          <w:sz w:val="19"/>
          <w:szCs w:val="19"/>
        </w:rPr>
        <w:t xml:space="preserve">a search of the certificate of title, or any examination of easements, restrictive covenants, encumbrances, notifications, memorials or caveats registered against the land</w:t>
      </w:r>
    </w:p>
    <w:p>
      <w:pPr>
        <w:pStyle w:val="ListParagraph"/>
        <w:numPr>
          <w:ilvl w:val="0"/>
          <w:numId w:val="2"/>
        </w:numPr>
        <w:spacing w:after="70" w:line="258"/>
      </w:pPr>
      <w:r>
        <w:rPr>
          <w:rFonts w:ascii="Calibri" w:cs="Calibri" w:eastAsia="Calibri" w:hAnsi="Calibri"/>
          <w:color w:val="333F46"/>
          <w:sz w:val="19"/>
          <w:szCs w:val="19"/>
        </w:rPr>
        <w:t xml:space="preserve">any advice on the legal effect of an instrument registered on the title</w:t>
      </w:r>
    </w:p>
    <w:p>
      <w:pPr>
        <w:pStyle w:val="ListParagraph"/>
        <w:numPr>
          <w:ilvl w:val="0"/>
          <w:numId w:val="2"/>
        </w:numPr>
        <w:spacing w:after="70" w:line="258"/>
      </w:pPr>
      <w:r>
        <w:rPr>
          <w:rFonts w:ascii="Calibri" w:cs="Calibri" w:eastAsia="Calibri" w:hAnsi="Calibri"/>
          <w:color w:val="333F46"/>
          <w:sz w:val="19"/>
          <w:szCs w:val="19"/>
        </w:rPr>
        <w:t xml:space="preserve">a cadastral survey, a boundary identification survey, a feature and level survey, or any measurement of the land</w:t>
      </w:r>
    </w:p>
    <w:p>
      <w:pPr>
        <w:pStyle w:val="ListParagraph"/>
        <w:numPr>
          <w:ilvl w:val="0"/>
          <w:numId w:val="2"/>
        </w:numPr>
        <w:spacing w:after="70" w:line="258"/>
      </w:pPr>
      <w:r>
        <w:rPr>
          <w:rFonts w:ascii="Calibri" w:cs="Calibri" w:eastAsia="Calibri" w:hAnsi="Calibri"/>
          <w:color w:val="333F46"/>
          <w:sz w:val="19"/>
          <w:szCs w:val="19"/>
        </w:rPr>
        <w:t xml:space="preserve">a contaminated sites register search, an environmental site assessment, or any physical inspection of the land</w:t>
      </w:r>
    </w:p>
    <w:p>
      <w:pPr>
        <w:pStyle w:val="ListParagraph"/>
        <w:numPr>
          <w:ilvl w:val="0"/>
          <w:numId w:val="2"/>
        </w:numPr>
        <w:spacing w:after="70" w:line="258"/>
      </w:pPr>
      <w:r>
        <w:rPr>
          <w:rFonts w:ascii="Calibri" w:cs="Calibri" w:eastAsia="Calibri" w:hAnsi="Calibri"/>
          <w:color w:val="333F46"/>
          <w:sz w:val="19"/>
          <w:szCs w:val="19"/>
        </w:rPr>
        <w:t xml:space="preserve">a bushfire attack level assessment, a flood level or a defined flood level for the property</w:t>
      </w:r>
    </w:p>
    <w:p>
      <w:pPr>
        <w:pStyle w:val="ListParagraph"/>
        <w:numPr>
          <w:ilvl w:val="0"/>
          <w:numId w:val="2"/>
        </w:numPr>
        <w:spacing w:after="70" w:line="258"/>
      </w:pPr>
      <w:r>
        <w:rPr>
          <w:rFonts w:ascii="Calibri" w:cs="Calibri" w:eastAsia="Calibri" w:hAnsi="Calibri"/>
          <w:color w:val="333F46"/>
          <w:sz w:val="19"/>
          <w:szCs w:val="19"/>
        </w:rPr>
        <w:t xml:space="preserve">confirmation from a water, sewer, power or telecommunications provider that servicing is available, or what it would cost</w:t>
      </w:r>
    </w:p>
    <w:p>
      <w:pPr>
        <w:pStyle w:val="ListParagraph"/>
        <w:numPr>
          <w:ilvl w:val="0"/>
          <w:numId w:val="2"/>
        </w:numPr>
        <w:spacing w:after="70" w:line="258"/>
      </w:pPr>
      <w:r>
        <w:rPr>
          <w:rFonts w:ascii="Calibri" w:cs="Calibri" w:eastAsia="Calibri" w:hAnsi="Calibri"/>
          <w:color w:val="333F46"/>
          <w:sz w:val="19"/>
          <w:szCs w:val="19"/>
        </w:rPr>
        <w:t xml:space="preserve">any local government planning or building certificate, or any enquiry made to a local government about the property</w:t>
      </w:r>
    </w:p>
    <w:p>
      <w:pPr>
        <w:pStyle w:val="ListParagraph"/>
        <w:numPr>
          <w:ilvl w:val="0"/>
          <w:numId w:val="2"/>
        </w:numPr>
        <w:spacing w:after="70" w:line="258"/>
      </w:pPr>
      <w:r>
        <w:rPr>
          <w:rFonts w:ascii="Calibri" w:cs="Calibri" w:eastAsia="Calibri" w:hAnsi="Calibri"/>
          <w:color w:val="333F46"/>
          <w:sz w:val="19"/>
          <w:szCs w:val="19"/>
        </w:rPr>
        <w:t xml:space="preserve">any assessment of the value of the land, before or after any subdivision</w:t>
      </w:r>
    </w:p>
    <w:p>
      <w:pPr>
        <w:pStyle w:val="ListParagraph"/>
        <w:numPr>
          <w:ilvl w:val="0"/>
          <w:numId w:val="2"/>
        </w:numPr>
        <w:spacing w:after="70" w:line="258"/>
      </w:pPr>
      <w:r>
        <w:rPr>
          <w:rFonts w:ascii="Calibri" w:cs="Calibri" w:eastAsia="Calibri" w:hAnsi="Calibri"/>
          <w:color w:val="333F46"/>
          <w:sz w:val="19"/>
          <w:szCs w:val="19"/>
        </w:rPr>
        <w:t xml:space="preserve">any application, submission or document lodged on your behalf with any authority</w:t>
      </w:r>
    </w:p>
    <w:p>
      <w:pPr>
        <w:spacing w:after="120" w:line="258"/>
      </w:pPr>
      <w:r>
        <w:rPr>
          <w:rFonts w:ascii="Calibri" w:cs="Calibri" w:eastAsia="Calibri" w:hAnsi="Calibri"/>
          <w:color w:val="333F46"/>
          <w:sz w:val="19"/>
          <w:szCs w:val="19"/>
        </w:rPr>
        <w:t xml:space="preserve">Where the report identifies a search, certificate or professional engagement you would need to obtain yourself, we name it. Naming it is not a substitute for obtaining it.</w:t>
      </w:r>
    </w:p>
    <w:p>
      <w:pPr>
        <w:spacing w:after="120" w:line="258"/>
      </w:pPr>
      <w:r>
        <w:rPr>
          <w:rFonts w:ascii="Calibri" w:cs="Calibri" w:eastAsia="Calibri" w:hAnsi="Calibri"/>
          <w:color w:val="333F46"/>
          <w:sz w:val="19"/>
          <w:szCs w:val="19"/>
        </w:rPr>
        <w:t xml:space="preserve">If, while producing your report, we find we cannot cover something this clause says we will cover, we will tell you before we deliver it, and you may choose either to accept the report as it stands or to cancel and receive a full refund. Your rights under clause 1 are not affected either way.</w:t>
      </w:r>
    </w:p>
    <w:p>
      <w:pPr>
        <w:pStyle w:val="Heading2"/>
        <w:spacing w:after="90" w:before="180"/>
      </w:pPr>
      <w:r>
        <w:rPr>
          <w:rFonts w:ascii="Calibri" w:cs="Calibri" w:eastAsia="Calibri" w:hAnsi="Calibri"/>
          <w:b/>
          <w:bCs/>
          <w:color w:val="333F46"/>
          <w:sz w:val="20"/>
          <w:szCs w:val="20"/>
        </w:rPr>
        <w:t xml:space="preserve">Information recorded in public registers</w:t>
      </w:r>
    </w:p>
    <w:p>
      <w:pPr>
        <w:spacing w:after="120" w:line="258"/>
      </w:pPr>
      <w:r>
        <w:rPr>
          <w:rFonts w:ascii="Calibri" w:cs="Calibri" w:eastAsia="Calibri" w:hAnsi="Calibri"/>
          <w:color w:val="333F46"/>
          <w:sz w:val="19"/>
          <w:szCs w:val="19"/>
        </w:rPr>
        <w:t xml:space="preserve">Where the report refers to what a register, scheme or instrument records, it is telling you what that source says. It is not telling you what that source means for your legal rights. Whether a particular restriction, covenant, easement or provision affects what you can do with your land is a question for a solicitor or the relevant authority.</w:t>
      </w:r>
    </w:p>
    <w:p>
      <w:pPr>
        <w:pStyle w:val="Heading2"/>
        <w:spacing w:after="90" w:before="180"/>
      </w:pPr>
      <w:r>
        <w:rPr>
          <w:rFonts w:ascii="Calibri" w:cs="Calibri" w:eastAsia="Calibri" w:hAnsi="Calibri"/>
          <w:b/>
          <w:bCs/>
          <w:color w:val="333F46"/>
          <w:sz w:val="20"/>
          <w:szCs w:val="20"/>
        </w:rPr>
        <w:t xml:space="preserve">Accuracy of source material</w:t>
      </w:r>
    </w:p>
    <w:p>
      <w:pPr>
        <w:spacing w:after="120" w:line="258"/>
      </w:pPr>
      <w:r>
        <w:rPr>
          <w:rFonts w:ascii="Calibri" w:cs="Calibri" w:eastAsia="Calibri" w:hAnsi="Calibri"/>
          <w:color w:val="333F46"/>
          <w:sz w:val="19"/>
          <w:szCs w:val="19"/>
        </w:rPr>
        <w:t xml:space="preserve">We rely on information published by government and other public bodies. That information can be out of date, incomplete or wrong at the source, and it changes. A report describes the position as at the date it is produced. Planning schemes are amended, registers are updated, and a report can become out of date quickly.</w:t>
      </w:r>
    </w:p>
    <w:p>
      <w:pPr>
        <w:pStyle w:val="Heading1"/>
        <w:spacing w:after="130" w:before="280"/>
      </w:pPr>
      <w:r>
        <w:rPr>
          <w:rFonts w:ascii="Calibri" w:cs="Calibri" w:eastAsia="Calibri" w:hAnsi="Calibri"/>
          <w:b/>
          <w:bCs/>
          <w:color w:val="0F5C50"/>
          <w:sz w:val="24"/>
          <w:szCs w:val="24"/>
        </w:rPr>
        <w:t xml:space="preserve">6. Ordering, price and payment</w:t>
      </w:r>
    </w:p>
    <w:p>
      <w:pPr>
        <w:spacing w:after="120" w:line="258"/>
      </w:pPr>
      <w:r>
        <w:rPr>
          <w:rFonts w:ascii="Calibri" w:cs="Calibri" w:eastAsia="Calibri" w:hAnsi="Calibri"/>
          <w:b/>
          <w:bCs/>
          <w:color w:val="333F46"/>
          <w:sz w:val="19"/>
          <w:szCs w:val="19"/>
        </w:rPr>
        <w:t>The price of a Subdivision Potential Report is $199.00, and the price of a Subdivision Snapshot is $39.00. That is the total amount you pay. There is no subscription, no account fee and no additional charge for the report itself.</w:t>
      </w:r>
    </w:p>
    <w:p>
      <w:pPr>
        <w:spacing w:after="120" w:line="258"/>
      </w:pPr>
      <w:r>
        <w:rPr>
          <w:rFonts w:ascii="Calibri" w:cs="Calibri" w:eastAsia="Calibri" w:hAnsi="Calibri"/>
          <w:b/>
          <w:bCs/>
          <w:color w:val="333F46"/>
          <w:sz w:val="19"/>
          <w:szCs w:val="19"/>
        </w:rPr>
        <w:t>Upgrading a Snapshot. Within 30 days after you buy a Snapshot, you may upgrade the same property to the full Subdivision Potential Report for $160.00, which credits the full $39.00 you paid for the Snapshot. To upgrade, use the upgrade link in your Snapshot email or on the last page of your Snapshot. The credit applies once, to the same property address only. It cannot be exchanged for cash, transferred to another person or used for a different property, and it lapses at the end of the 30 days or if the Snapshot is refunded. An upgrade is a new order for a full report on these terms, and after 30 days the full report is available at its normal price.</w:t>
      </w:r>
    </w:p>
    <w:p>
      <w:pPr>
        <w:spacing w:after="120" w:line="258"/>
      </w:pPr>
      <w:r>
        <w:rPr>
          <w:rFonts w:ascii="Calibri" w:cs="Calibri" w:eastAsia="Calibri" w:hAnsi="Calibri"/>
          <w:color w:val="333F46"/>
          <w:sz w:val="19"/>
          <w:szCs w:val="19"/>
        </w:rPr>
        <w:t xml:space="preserve">Forge BC Pty Ltd is not registered for goods and services tax. No GST is charged on the price and no GST component is included in it. Any document we give you for the transaction is a receipt, not a tax invoice.</w:t>
      </w:r>
    </w:p>
    <w:p>
      <w:pPr>
        <w:spacing w:after="120" w:line="258"/>
      </w:pPr>
      <w:r>
        <w:rPr>
          <w:rFonts w:ascii="Calibri" w:cs="Calibri" w:eastAsia="Calibri" w:hAnsi="Calibri"/>
          <w:b w:val="false"/>
          <w:bCs w:val="false"/>
          <w:color w:val="333F46"/>
          <w:sz w:val="19"/>
          <w:szCs w:val="19"/>
        </w:rPr>
        <w:t xml:space="preserve">Payment is processed by Stripe. We do not receive or store your card details. Your contract with us is formed when your payment is successfully processed and we accept your order. </w:t>
      </w:r>
      <w:r>
        <w:rPr>
          <w:rFonts w:ascii="Calibri" w:cs="Calibri" w:eastAsia="Calibri" w:hAnsi="Calibri"/>
          <w:color w:val="333F46"/>
          <w:sz w:val="19"/>
          <w:szCs w:val="19"/>
        </w:rPr>
        <w:t xml:space="preserve">We will confirm this by email within 1 business day, with a receipt showing our name, our ABN, the date, and the amount you paid. If we do not accept your order, no contract is formed and we will refund you in full within 5 business days.</w:t>
      </w:r>
    </w:p>
    <w:p>
      <w:pPr>
        <w:spacing w:after="120" w:line="258"/>
      </w:pPr>
      <w:r>
        <w:rPr>
          <w:rFonts w:ascii="Calibri" w:cs="Calibri" w:eastAsia="Calibri" w:hAnsi="Calibri"/>
          <w:b/>
          <w:bCs/>
          <w:color w:val="333F46"/>
          <w:sz w:val="19"/>
          <w:szCs w:val="19"/>
        </w:rPr>
        <w:t xml:space="preserve">Cancelling. </w:t>
      </w:r>
      <w:r>
        <w:rPr>
          <w:rFonts w:ascii="Calibri" w:cs="Calibri" w:eastAsia="Calibri" w:hAnsi="Calibri"/>
          <w:color w:val="333F46"/>
          <w:sz w:val="19"/>
          <w:szCs w:val="19"/>
        </w:rPr>
        <w:t xml:space="preserve">We begin producing your report immediately, so it usually cannot be cancelled. If you contact us before production has started, we will cancel and refund you in full. This does not affect your rights under clause 1 or clause 8.</w:t>
      </w:r>
    </w:p>
    <w:p>
      <w:pPr>
        <w:spacing w:after="120" w:line="258"/>
      </w:pPr>
      <w:r>
        <w:rPr>
          <w:rFonts w:ascii="Calibri" w:cs="Calibri" w:eastAsia="Calibri" w:hAnsi="Calibri"/>
          <w:color w:val="333F46"/>
          <w:sz w:val="19"/>
          <w:szCs w:val="19"/>
        </w:rPr>
        <w:t xml:space="preserve">Please check the property address carefully before you pay. We produce the report for the address you give us. If you give us the wrong address, tell us as soon as you can and we will do what we reasonably can to help, although a report for the wrong address may already have been produced.</w:t>
      </w:r>
    </w:p>
    <w:p>
      <w:pPr>
        <w:pStyle w:val="Heading1"/>
        <w:spacing w:after="130" w:before="280"/>
      </w:pPr>
      <w:r>
        <w:rPr>
          <w:rFonts w:ascii="Calibri" w:cs="Calibri" w:eastAsia="Calibri" w:hAnsi="Calibri"/>
          <w:b/>
          <w:bCs/>
          <w:color w:val="0F5C50"/>
          <w:sz w:val="24"/>
          <w:szCs w:val="24"/>
        </w:rPr>
        <w:t xml:space="preserve">7. Delivery</w:t>
      </w:r>
    </w:p>
    <w:p>
      <w:pPr>
        <w:spacing w:after="120" w:line="258"/>
      </w:pPr>
      <w:r>
        <w:rPr>
          <w:rFonts w:ascii="Calibri" w:cs="Calibri" w:eastAsia="Calibri" w:hAnsi="Calibri"/>
          <w:color w:val="333F46"/>
          <w:sz w:val="19"/>
          <w:szCs w:val="19"/>
        </w:rPr>
        <w:t xml:space="preserve">We aim to deliver your report by email within a short time of your order. Delivery times are estimates and are not guaranteed, and we are required by law to supply within a reasonable time in any event.</w:t>
      </w:r>
    </w:p>
    <w:p>
      <w:pPr>
        <w:spacing w:after="120" w:line="258"/>
      </w:pPr>
      <w:r>
        <w:rPr>
          <w:rFonts w:ascii="Calibri" w:cs="Calibri" w:eastAsia="Calibri" w:hAnsi="Calibri"/>
          <w:color w:val="333F46"/>
          <w:sz w:val="19"/>
          <w:szCs w:val="19"/>
        </w:rPr>
        <w:t xml:space="preserve">Occasionally our internal checks will hold a report for review rather than release it. If that happens we will tell you, and it may take longer. We would rather send you a correct report late than an incorrect one on time. If a report is held for review for more than 5 business days, we will contact you and give you the choice of waiting or cancelling for a full refund.</w:t>
      </w:r>
    </w:p>
    <w:p>
      <w:pPr>
        <w:spacing w:after="120" w:line="258"/>
      </w:pPr>
      <w:r>
        <w:rPr>
          <w:rFonts w:ascii="Calibri" w:cs="Calibri" w:eastAsia="Calibri" w:hAnsi="Calibri"/>
          <w:color w:val="333F46"/>
          <w:sz w:val="19"/>
          <w:szCs w:val="19"/>
        </w:rPr>
        <w:t xml:space="preserve">It is your responsibility to give us a working email address and to check your junk or spam folder. If your report has not arrived, contact us. We will check whether it was sent, and arrange delivery.</w:t>
      </w:r>
    </w:p>
    <w:p>
      <w:pPr>
        <w:pStyle w:val="Heading1"/>
        <w:spacing w:after="130" w:before="280"/>
      </w:pPr>
      <w:r>
        <w:rPr>
          <w:rFonts w:ascii="Calibri" w:cs="Calibri" w:eastAsia="Calibri" w:hAnsi="Calibri"/>
          <w:b/>
          <w:bCs/>
          <w:color w:val="0F5C50"/>
          <w:sz w:val="24"/>
          <w:szCs w:val="24"/>
        </w:rPr>
        <w:t xml:space="preserve">8. If there is a problem with your report</w:t>
      </w:r>
    </w:p>
    <w:p>
      <w:pPr>
        <w:spacing w:after="120" w:line="258"/>
      </w:pPr>
      <w:r>
        <w:rPr>
          <w:rFonts w:ascii="Calibri" w:cs="Calibri" w:eastAsia="Calibri" w:hAnsi="Calibri"/>
          <w:b/>
          <w:bCs/>
          <w:color w:val="333F46"/>
          <w:sz w:val="19"/>
          <w:szCs w:val="19"/>
        </w:rPr>
        <w:t xml:space="preserve">Contact us at hello@subdivisionchecker.com.au and tell us what the problem is. </w:t>
      </w:r>
      <w:r>
        <w:rPr>
          <w:rFonts w:ascii="Calibri" w:cs="Calibri" w:eastAsia="Calibri" w:hAnsi="Calibri"/>
          <w:color w:val="333F46"/>
          <w:sz w:val="19"/>
          <w:szCs w:val="19"/>
        </w:rPr>
        <w:t xml:space="preserve">Please quote your report number, which is on the first page. We will acknowledge your email within 2 business days and give you a substantive response within 30 days.</w:t>
      </w:r>
    </w:p>
    <w:p>
      <w:pPr>
        <w:spacing w:after="120" w:line="258"/>
      </w:pPr>
      <w:r>
        <w:rPr>
          <w:rFonts w:ascii="Calibri" w:cs="Calibri" w:eastAsia="Calibri" w:hAnsi="Calibri"/>
          <w:color w:val="333F46"/>
          <w:sz w:val="19"/>
          <w:szCs w:val="19"/>
        </w:rPr>
        <w:t xml:space="preserve">Your rights under the Australian Consumer Law apply, and clause 1 governs. Those rights come from the law, not from us, and nothing below limits them. In summary:</w:t>
      </w:r>
    </w:p>
    <w:p>
      <w:pPr>
        <w:pStyle w:val="ListParagraph"/>
        <w:numPr>
          <w:ilvl w:val="0"/>
          <w:numId w:val="2"/>
        </w:numPr>
        <w:spacing w:after="70" w:line="258"/>
      </w:pPr>
      <w:r>
        <w:rPr>
          <w:rFonts w:ascii="Calibri" w:cs="Calibri" w:eastAsia="Calibri" w:hAnsi="Calibri"/>
          <w:color w:val="333F46"/>
          <w:sz w:val="19"/>
          <w:szCs w:val="19"/>
        </w:rPr>
        <w:t xml:space="preserve">If there is a </w:t>
      </w:r>
      <w:r>
        <w:rPr>
          <w:rFonts w:ascii="Calibri" w:cs="Calibri" w:eastAsia="Calibri" w:hAnsi="Calibri"/>
          <w:b/>
          <w:bCs/>
          <w:color w:val="333F46"/>
          <w:sz w:val="19"/>
          <w:szCs w:val="19"/>
        </w:rPr>
        <w:t xml:space="preserve">major failure</w:t>
      </w:r>
      <w:r>
        <w:rPr>
          <w:rFonts w:ascii="Calibri" w:cs="Calibri" w:eastAsia="Calibri" w:hAnsi="Calibri"/>
          <w:color w:val="333F46"/>
          <w:sz w:val="19"/>
          <w:szCs w:val="19"/>
        </w:rPr>
        <w:t xml:space="preserve"> with the service, you may choose to cancel the contract and obtain a refund, or to keep the report and recover compensation for the difference between the value of the service you received and the price you paid. </w:t>
      </w:r>
      <w:r>
        <w:rPr>
          <w:rFonts w:ascii="Calibri" w:cs="Calibri" w:eastAsia="Calibri" w:hAnsi="Calibri"/>
          <w:b/>
          <w:bCs/>
          <w:color w:val="333F46"/>
          <w:sz w:val="19"/>
          <w:szCs w:val="19"/>
        </w:rPr>
        <w:t xml:space="preserve">That choice is yours, not ours.</w:t>
      </w:r>
    </w:p>
    <w:p>
      <w:pPr>
        <w:pStyle w:val="ListParagraph"/>
        <w:numPr>
          <w:ilvl w:val="0"/>
          <w:numId w:val="2"/>
        </w:numPr>
        <w:spacing w:after="70" w:line="258"/>
      </w:pPr>
      <w:r>
        <w:rPr>
          <w:rFonts w:ascii="Calibri" w:cs="Calibri" w:eastAsia="Calibri" w:hAnsi="Calibri"/>
          <w:color w:val="333F46"/>
          <w:sz w:val="19"/>
          <w:szCs w:val="19"/>
        </w:rPr>
        <w:t xml:space="preserve">If there is a problem that is </w:t>
      </w:r>
      <w:r>
        <w:rPr>
          <w:rFonts w:ascii="Calibri" w:cs="Calibri" w:eastAsia="Calibri" w:hAnsi="Calibri"/>
          <w:b/>
          <w:bCs/>
          <w:color w:val="333F46"/>
          <w:sz w:val="19"/>
          <w:szCs w:val="19"/>
        </w:rPr>
        <w:t xml:space="preserve">not a major failure</w:t>
      </w:r>
      <w:r>
        <w:rPr>
          <w:rFonts w:ascii="Calibri" w:cs="Calibri" w:eastAsia="Calibri" w:hAnsi="Calibri"/>
          <w:color w:val="333F46"/>
          <w:sz w:val="19"/>
          <w:szCs w:val="19"/>
        </w:rPr>
        <w:t xml:space="preserve">, you may require us to remedy it within a reasonable time. </w:t>
      </w:r>
      <w:r>
        <w:rPr>
          <w:rFonts w:ascii="Calibri" w:cs="Calibri" w:eastAsia="Calibri" w:hAnsi="Calibri"/>
          <w:b/>
          <w:bCs/>
          <w:color w:val="333F46"/>
          <w:sz w:val="19"/>
          <w:szCs w:val="19"/>
        </w:rPr>
        <w:t xml:space="preserve">If we refuse to remedy it, or do not remedy it within a reasonable time, you may have it remedied elsewhere and recover the reasonable cost of doing so from us, or you may cancel the contract and obtain a refund.</w:t>
      </w:r>
    </w:p>
    <w:p>
      <w:pPr>
        <w:pStyle w:val="ListParagraph"/>
        <w:numPr>
          <w:ilvl w:val="0"/>
          <w:numId w:val="2"/>
        </w:numPr>
        <w:spacing w:after="70" w:line="258"/>
      </w:pPr>
      <w:r>
        <w:rPr>
          <w:rFonts w:ascii="Calibri" w:cs="Calibri" w:eastAsia="Calibri" w:hAnsi="Calibri"/>
          <w:color w:val="333F46"/>
          <w:sz w:val="19"/>
          <w:szCs w:val="19"/>
        </w:rPr>
        <w:t xml:space="preserve">In either case, you may </w:t>
      </w:r>
      <w:r>
        <w:rPr>
          <w:rFonts w:ascii="Calibri" w:cs="Calibri" w:eastAsia="Calibri" w:hAnsi="Calibri"/>
          <w:b/>
          <w:bCs/>
          <w:color w:val="333F46"/>
          <w:sz w:val="19"/>
          <w:szCs w:val="19"/>
        </w:rPr>
        <w:t xml:space="preserve">also</w:t>
      </w:r>
      <w:r>
        <w:rPr>
          <w:rFonts w:ascii="Calibri" w:cs="Calibri" w:eastAsia="Calibri" w:hAnsi="Calibri"/>
          <w:color w:val="333F46"/>
          <w:sz w:val="19"/>
          <w:szCs w:val="19"/>
        </w:rPr>
        <w:t xml:space="preserve"> recover compensation for any other loss or damage that was reasonably foreseeable as a result of the failure. That is in addition to the remedies above, and it is not limited by any other clause in these terms.</w:t>
      </w:r>
    </w:p>
    <w:p>
      <w:pPr>
        <w:spacing w:after="120" w:line="258"/>
      </w:pPr>
      <w:r>
        <w:rPr>
          <w:rFonts w:ascii="Calibri" w:cs="Calibri" w:eastAsia="Calibri" w:hAnsi="Calibri"/>
          <w:color w:val="333F46"/>
          <w:sz w:val="19"/>
          <w:szCs w:val="19"/>
        </w:rPr>
        <w:t xml:space="preserve">We do not impose any contractual time limit on raising a problem that is shorter than the period allowed by law, and we do not require you to give up any right, or to refrain from making a complaint to anyone, as a condition of us dealing with it.</w:t>
      </w:r>
    </w:p>
    <w:p>
      <w:pPr>
        <w:spacing w:after="120" w:line="258"/>
      </w:pPr>
      <w:r>
        <w:rPr>
          <w:rFonts w:ascii="Calibri" w:cs="Calibri" w:eastAsia="Calibri" w:hAnsi="Calibri"/>
          <w:color w:val="333F46"/>
          <w:sz w:val="19"/>
          <w:szCs w:val="19"/>
        </w:rPr>
        <w:t xml:space="preserve">Our Refund Policy explains how we apply this in practice, including the difference between a genuine problem with a report and a change of mind. It does not limit anything in this clause.</w:t>
      </w:r>
    </w:p>
    <w:p>
      <w:pPr>
        <w:pStyle w:val="Heading1"/>
        <w:spacing w:after="130" w:before="280"/>
      </w:pPr>
      <w:r>
        <w:rPr>
          <w:rFonts w:ascii="Calibri" w:cs="Calibri" w:eastAsia="Calibri" w:hAnsi="Calibri"/>
          <w:b/>
          <w:bCs/>
          <w:color w:val="0F5C50"/>
          <w:sz w:val="24"/>
          <w:szCs w:val="24"/>
        </w:rPr>
        <w:t xml:space="preserve">9. How you may use the report</w:t>
      </w:r>
    </w:p>
    <w:p>
      <w:pPr>
        <w:spacing w:after="120" w:line="258"/>
      </w:pPr>
      <w:r>
        <w:rPr>
          <w:rFonts w:ascii="Calibri" w:cs="Calibri" w:eastAsia="Calibri" w:hAnsi="Calibri"/>
          <w:color w:val="333F46"/>
          <w:sz w:val="19"/>
          <w:szCs w:val="19"/>
        </w:rPr>
        <w:t xml:space="preserve">We own the copyright in the report and in the website.</w:t>
      </w:r>
    </w:p>
    <w:p>
      <w:pPr>
        <w:spacing w:after="120" w:line="258"/>
      </w:pPr>
      <w:r>
        <w:rPr>
          <w:rFonts w:ascii="Calibri" w:cs="Calibri" w:eastAsia="Calibri" w:hAnsi="Calibri"/>
          <w:color w:val="333F46"/>
          <w:sz w:val="19"/>
          <w:szCs w:val="19"/>
        </w:rPr>
        <w:t>When you buy a report you may use it for your own purposes. You may print it, copy it and store it, and give a complete copy of it to your co-owners and family, and to your professional advisers and anyone else you engage to act for you on the property.</w:t>
      </w:r>
    </w:p>
    <w:p>
      <w:pPr>
        <w:spacing w:after="120" w:line="258"/>
      </w:pPr>
      <w:r>
        <w:rPr>
          <w:rFonts w:ascii="Calibri" w:cs="Calibri" w:eastAsia="Calibri" w:hAnsi="Calibri"/>
          <w:color w:val="333F46"/>
          <w:sz w:val="19"/>
          <w:szCs w:val="19"/>
        </w:rPr>
        <w:t xml:space="preserve">You may not resell the report, offer it for sale, or publish it as a product or service of your own, and you may not present it as your own work or as the work of a licensed professional. You may not scrape the website, or use automated means to copy or systematically extract material from it.</w:t>
      </w:r>
    </w:p>
    <w:p>
      <w:pPr>
        <w:spacing w:after="120" w:line="258"/>
      </w:pPr>
      <w:r>
        <w:rPr>
          <w:rFonts w:ascii="Calibri" w:cs="Calibri" w:eastAsia="Calibri" w:hAnsi="Calibri"/>
          <w:b w:val="false"/>
          <w:bCs w:val="false"/>
          <w:color w:val="333F46"/>
          <w:sz w:val="19"/>
          <w:szCs w:val="19"/>
        </w:rPr>
        <w:t xml:space="preserve">Public information contained in the report remains public information. Nothing in this clause prevents you from using the facts you learn from the report for any purpose. Nothing in this clause prevents you from doing anything permitted by the Copyright Act 1968 (Cth), including fair dealing for criticism or review. </w:t>
      </w:r>
      <w:r>
        <w:rPr>
          <w:rFonts w:ascii="Calibri" w:cs="Calibri" w:eastAsia="Calibri" w:hAnsi="Calibri"/>
          <w:b/>
          <w:bCs/>
          <w:color w:val="333F46"/>
          <w:sz w:val="19"/>
          <w:szCs w:val="19"/>
        </w:rPr>
        <w:t xml:space="preserve">Nothing in this clause prevents you from publishing your honest opinion of us or of the report, or from giving a copy of the report to a court, tribunal, regulator, ombudsman, insurer or lawyer.</w:t>
      </w:r>
    </w:p>
    <w:p>
      <w:pPr>
        <w:spacing w:after="120" w:line="258"/>
      </w:pPr>
      <w:r>
        <w:rPr>
          <w:rFonts w:ascii="Calibri" w:cs="Calibri" w:eastAsia="Calibri" w:hAnsi="Calibri"/>
          <w:color w:val="333F46"/>
          <w:sz w:val="19"/>
          <w:szCs w:val="19"/>
        </w:rPr>
        <w:t>Parts of the report, including the measured lot boundary, frontage and buildings and the indicative layout drawings, are made from data licensed to us by Geoscape Australia. You may use those parts only for your own personal or internal business purposes as described in this clause. You may not sell or redistribute them separately from the report, extract the data in them, or use them to build another product, service or dataset.</w:t>
      </w:r>
    </w:p>
    <w:p>
      <w:pPr>
        <w:pStyle w:val="Heading1"/>
        <w:spacing w:after="130" w:before="280"/>
      </w:pPr>
      <w:r>
        <w:rPr>
          <w:rFonts w:ascii="Calibri" w:cs="Calibri" w:eastAsia="Calibri" w:hAnsi="Calibri"/>
          <w:b/>
          <w:bCs/>
          <w:color w:val="0F5C50"/>
          <w:sz w:val="24"/>
          <w:szCs w:val="24"/>
        </w:rPr>
        <w:t xml:space="preserve">10. Who the report is prepared for</w:t>
      </w:r>
    </w:p>
    <w:p>
      <w:pPr>
        <w:spacing w:after="120" w:line="258"/>
      </w:pPr>
      <w:r>
        <w:rPr>
          <w:rFonts w:ascii="Calibri" w:cs="Calibri" w:eastAsia="Calibri" w:hAnsi="Calibri"/>
          <w:color w:val="333F46"/>
          <w:sz w:val="19"/>
          <w:szCs w:val="19"/>
        </w:rPr>
        <w:t xml:space="preserve">We prepare the report for you, the person who bought it, for the purpose described in clause 2.</w:t>
      </w:r>
    </w:p>
    <w:p>
      <w:pPr>
        <w:spacing w:after="120" w:line="258"/>
      </w:pPr>
      <w:r>
        <w:rPr>
          <w:rFonts w:ascii="Calibri" w:cs="Calibri" w:eastAsia="Calibri" w:hAnsi="Calibri"/>
          <w:color w:val="333F46"/>
          <w:sz w:val="19"/>
          <w:szCs w:val="19"/>
        </w:rPr>
        <w:t>You may give the report to the people described in clause 9, and we expect you to give it to any adviser you engage, because material findings need confirming. If you do, please give them the whole report, including the section headed Terms, Scope and Limitations, so they can see what it is and what it is not.</w:t>
      </w:r>
    </w:p>
    <w:p>
      <w:pPr>
        <w:spacing w:after="120" w:line="258"/>
      </w:pPr>
      <w:r>
        <w:rPr>
          <w:rFonts w:ascii="Calibri" w:cs="Calibri" w:eastAsia="Calibri" w:hAnsi="Calibri"/>
          <w:b/>
          <w:bCs/>
          <w:color w:val="333F46"/>
          <w:sz w:val="19"/>
          <w:szCs w:val="19"/>
        </w:rPr>
        <w:t xml:space="preserve">We do not accept a duty of care to, and do not assume responsibility to, any person other than you. </w:t>
      </w:r>
      <w:r>
        <w:rPr>
          <w:rFonts w:ascii="Calibri" w:cs="Calibri" w:eastAsia="Calibri" w:hAnsi="Calibri"/>
          <w:color w:val="333F46"/>
          <w:sz w:val="19"/>
          <w:szCs w:val="19"/>
        </w:rPr>
        <w:t xml:space="preserve">The report is not prepared for a lender, insurer, buyer, seller, selling agent or valuer, and it is not prepared to be attached to a contract of sale or used in marketing material. If someone other than you relies on it, they do so on their own assessment and not on any assumption of responsibility by us.</w:t>
      </w:r>
    </w:p>
    <w:p>
      <w:pPr>
        <w:spacing w:after="120" w:line="258"/>
      </w:pPr>
      <w:r>
        <w:rPr>
          <w:rFonts w:ascii="Calibri" w:cs="Calibri" w:eastAsia="Calibri" w:hAnsi="Calibri"/>
          <w:color w:val="333F46"/>
          <w:sz w:val="19"/>
          <w:szCs w:val="19"/>
        </w:rPr>
        <w:t xml:space="preserve">Nothing in this clause affects any right any person has under the Australian Consumer Law or under any other law that cannot be excluded.</w:t>
      </w:r>
    </w:p>
    <w:p>
      <w:pPr>
        <w:pStyle w:val="Heading1"/>
        <w:spacing w:after="130" w:before="280"/>
      </w:pPr>
      <w:r>
        <w:rPr>
          <w:rFonts w:ascii="Calibri" w:cs="Calibri" w:eastAsia="Calibri" w:hAnsi="Calibri"/>
          <w:b/>
          <w:bCs/>
          <w:color w:val="0F5C50"/>
          <w:sz w:val="24"/>
          <w:szCs w:val="24"/>
        </w:rPr>
        <w:t xml:space="preserve">11. Your responsibilities, and what we recommend</w:t>
      </w:r>
    </w:p>
    <w:p>
      <w:pPr>
        <w:spacing w:after="120" w:line="258"/>
      </w:pPr>
      <w:r>
        <w:rPr>
          <w:rFonts w:ascii="Calibri" w:cs="Calibri" w:eastAsia="Calibri" w:hAnsi="Calibri"/>
          <w:color w:val="333F46"/>
          <w:sz w:val="19"/>
          <w:szCs w:val="19"/>
        </w:rPr>
        <w:t xml:space="preserve">You agree that:</w:t>
      </w:r>
    </w:p>
    <w:p>
      <w:pPr>
        <w:pStyle w:val="ListParagraph"/>
        <w:numPr>
          <w:ilvl w:val="0"/>
          <w:numId w:val="2"/>
        </w:numPr>
        <w:spacing w:after="70" w:line="258"/>
      </w:pPr>
      <w:r>
        <w:rPr>
          <w:rFonts w:ascii="Calibri" w:cs="Calibri" w:eastAsia="Calibri" w:hAnsi="Calibri"/>
          <w:color w:val="333F46"/>
          <w:sz w:val="19"/>
          <w:szCs w:val="19"/>
        </w:rPr>
        <w:t xml:space="preserve">you are at least 18 years old and have legal capacity to enter this contract</w:t>
      </w:r>
    </w:p>
    <w:p>
      <w:pPr>
        <w:pStyle w:val="ListParagraph"/>
        <w:numPr>
          <w:ilvl w:val="0"/>
          <w:numId w:val="2"/>
        </w:numPr>
        <w:spacing w:after="70" w:line="258"/>
      </w:pPr>
      <w:r>
        <w:rPr>
          <w:rFonts w:ascii="Calibri" w:cs="Calibri" w:eastAsia="Calibri" w:hAnsi="Calibri"/>
          <w:color w:val="333F46"/>
          <w:sz w:val="19"/>
          <w:szCs w:val="19"/>
        </w:rPr>
        <w:t xml:space="preserve">you will give us accurate information, including the correct property address</w:t>
      </w:r>
    </w:p>
    <w:p>
      <w:pPr>
        <w:pStyle w:val="ListParagraph"/>
        <w:numPr>
          <w:ilvl w:val="0"/>
          <w:numId w:val="2"/>
        </w:numPr>
        <w:spacing w:after="70" w:line="258"/>
      </w:pPr>
      <w:r>
        <w:rPr>
          <w:rFonts w:ascii="Calibri" w:cs="Calibri" w:eastAsia="Calibri" w:hAnsi="Calibri"/>
          <w:color w:val="333F46"/>
          <w:sz w:val="19"/>
          <w:szCs w:val="19"/>
        </w:rPr>
        <w:t xml:space="preserve">you will not use the report or the website for any unlawful purpose</w:t>
      </w:r>
    </w:p>
    <w:p>
      <w:pPr>
        <w:pStyle w:val="ListParagraph"/>
        <w:numPr>
          <w:ilvl w:val="0"/>
          <w:numId w:val="2"/>
        </w:numPr>
        <w:spacing w:after="70" w:line="258"/>
      </w:pPr>
      <w:r>
        <w:rPr>
          <w:rFonts w:ascii="Calibri" w:cs="Calibri" w:eastAsia="Calibri" w:hAnsi="Calibri"/>
          <w:color w:val="333F46"/>
          <w:sz w:val="19"/>
          <w:szCs w:val="19"/>
        </w:rPr>
        <w:t xml:space="preserve">you will not use the service to obtain information about a property in order to locate, harass, intimidate, monitor or surveil any person</w:t>
      </w:r>
    </w:p>
    <w:p>
      <w:pPr>
        <w:spacing w:after="120" w:line="258"/>
      </w:pPr>
      <w:r>
        <w:rPr>
          <w:rFonts w:ascii="Calibri" w:cs="Calibri" w:eastAsia="Calibri" w:hAnsi="Calibri"/>
          <w:b w:val="false"/>
          <w:bCs w:val="false"/>
          <w:color w:val="333F46"/>
          <w:sz w:val="19"/>
          <w:szCs w:val="19"/>
        </w:rPr>
        <w:t xml:space="preserve">Separately, and importantly, we </w:t>
      </w:r>
      <w:r>
        <w:rPr>
          <w:rFonts w:ascii="Calibri" w:cs="Calibri" w:eastAsia="Calibri" w:hAnsi="Calibri"/>
          <w:b/>
          <w:bCs/>
          <w:color w:val="333F46"/>
          <w:sz w:val="19"/>
          <w:szCs w:val="19"/>
        </w:rPr>
        <w:t xml:space="preserve">recommend</w:t>
      </w:r>
      <w:r>
        <w:rPr>
          <w:rFonts w:ascii="Calibri" w:cs="Calibri" w:eastAsia="Calibri" w:hAnsi="Calibri"/>
          <w:color w:val="333F46"/>
          <w:sz w:val="19"/>
          <w:szCs w:val="19"/>
        </w:rPr>
        <w:t xml:space="preserve"> that you do not treat the report as your only basis for a significant financial decision, that you obtain your own professional advice from a licensed surveyor, town planner and solicitor or licensed settlement agent before you act, and that you confirm material findings with the relevant local government and state authority.</w:t>
      </w:r>
    </w:p>
    <w:p>
      <w:pPr>
        <w:spacing w:after="120" w:line="258"/>
      </w:pPr>
      <w:r>
        <w:rPr>
          <w:rFonts w:ascii="Calibri" w:cs="Calibri" w:eastAsia="Calibri" w:hAnsi="Calibri"/>
          <w:b/>
          <w:bCs/>
          <w:color w:val="333F46"/>
          <w:sz w:val="19"/>
          <w:szCs w:val="19"/>
        </w:rPr>
        <w:t xml:space="preserve">Those are recommendations. They are not conditions of your rights, and they are not promises you make to us. </w:t>
      </w:r>
      <w:r>
        <w:rPr>
          <w:rFonts w:ascii="Calibri" w:cs="Calibri" w:eastAsia="Calibri" w:hAnsi="Calibri"/>
          <w:color w:val="333F46"/>
          <w:sz w:val="19"/>
          <w:szCs w:val="19"/>
        </w:rPr>
        <w:t xml:space="preserve">If you do not follow them, that does not limit any guarantee, right or remedy you have under clause 1, and we do not treat it as a breach of these terms.</w:t>
      </w:r>
    </w:p>
    <w:p>
      <w:pPr>
        <w:pStyle w:val="Heading1"/>
        <w:spacing w:after="130" w:before="280"/>
      </w:pPr>
      <w:r>
        <w:rPr>
          <w:rFonts w:ascii="Calibri" w:cs="Calibri" w:eastAsia="Calibri" w:hAnsi="Calibri"/>
          <w:b/>
          <w:bCs/>
          <w:color w:val="0F5C50"/>
          <w:sz w:val="24"/>
          <w:szCs w:val="24"/>
        </w:rPr>
        <w:t xml:space="preserve">12. Liability</w:t>
      </w:r>
    </w:p>
    <w:p>
      <w:pPr>
        <w:spacing w:after="120" w:line="258"/>
      </w:pPr>
      <w:r>
        <w:rPr>
          <w:rFonts w:ascii="Calibri" w:cs="Calibri" w:eastAsia="Calibri" w:hAnsi="Calibri"/>
          <w:b/>
          <w:bCs/>
          <w:color w:val="333F46"/>
          <w:sz w:val="19"/>
          <w:szCs w:val="19"/>
        </w:rPr>
        <w:t xml:space="preserve">This clause is subject to clause 1. It does not apply to, and does not limit, any guarantee, right or remedy you have under the Australian Consumer Law — including your right to compensation for reasonably foreseeable loss or damage — or any other liability that cannot lawfully be excluded, restricted or limited. Where this clause and clause 1 are inconsistent, clause 1 prevails and this clause does not apply.</w:t>
      </w:r>
    </w:p>
    <w:p>
      <w:pPr>
        <w:spacing w:after="120" w:line="258"/>
      </w:pPr>
      <w:r>
        <w:rPr>
          <w:rFonts w:ascii="Calibri" w:cs="Calibri" w:eastAsia="Calibri" w:hAnsi="Calibri"/>
          <w:color w:val="333F46"/>
          <w:sz w:val="19"/>
          <w:szCs w:val="19"/>
        </w:rPr>
        <w:t xml:space="preserve">Subject to that, and only to the extent the law allows:</w:t>
      </w:r>
    </w:p>
    <w:p>
      <w:pPr>
        <w:pStyle w:val="ListParagraph"/>
        <w:numPr>
          <w:ilvl w:val="0"/>
          <w:numId w:val="2"/>
        </w:numPr>
        <w:spacing w:after="70" w:line="258"/>
      </w:pPr>
      <w:r>
        <w:rPr>
          <w:rFonts w:ascii="Calibri" w:cs="Calibri" w:eastAsia="Calibri" w:hAnsi="Calibri"/>
          <w:color w:val="333F46"/>
          <w:sz w:val="19"/>
          <w:szCs w:val="19"/>
        </w:rPr>
        <w:t xml:space="preserve">we are not liable for loss caused by a change in law, policy, planning scheme, register or mapping that takes effect after the date of your report</w:t>
      </w:r>
    </w:p>
    <w:p>
      <w:pPr>
        <w:pStyle w:val="ListParagraph"/>
        <w:numPr>
          <w:ilvl w:val="0"/>
          <w:numId w:val="2"/>
        </w:numPr>
        <w:spacing w:after="70" w:line="258"/>
      </w:pPr>
      <w:r>
        <w:rPr>
          <w:rFonts w:ascii="Calibri" w:cs="Calibri" w:eastAsia="Calibri" w:hAnsi="Calibri"/>
          <w:color w:val="333F46"/>
          <w:sz w:val="19"/>
          <w:szCs w:val="19"/>
        </w:rPr>
        <w:t xml:space="preserve">we are not liable for loss to the extent it is caused by inaccurate information you gave us, including an incorrect property address</w:t>
      </w:r>
    </w:p>
    <w:p>
      <w:pPr>
        <w:pStyle w:val="ListParagraph"/>
        <w:numPr>
          <w:ilvl w:val="0"/>
          <w:numId w:val="2"/>
        </w:numPr>
        <w:spacing w:after="70" w:line="258"/>
      </w:pPr>
      <w:r>
        <w:rPr>
          <w:rFonts w:ascii="Calibri" w:cs="Calibri" w:eastAsia="Calibri" w:hAnsi="Calibri"/>
          <w:color w:val="333F46"/>
          <w:sz w:val="19"/>
          <w:szCs w:val="19"/>
        </w:rPr>
        <w:t xml:space="preserve">we are not liable for loss of profit, loss of opportunity, loss of anticipated savings, or loss arising from a transaction you did or did not enter into, to the extent that loss is indirect or consequential</w:t>
      </w:r>
    </w:p>
    <w:p>
      <w:pPr>
        <w:pStyle w:val="ListParagraph"/>
        <w:numPr>
          <w:ilvl w:val="0"/>
          <w:numId w:val="2"/>
        </w:numPr>
        <w:spacing w:after="70" w:line="258"/>
      </w:pPr>
      <w:r>
        <w:rPr>
          <w:rFonts w:ascii="Calibri" w:cs="Calibri" w:eastAsia="Calibri" w:hAnsi="Calibri"/>
          <w:color w:val="333F46"/>
          <w:sz w:val="19"/>
          <w:szCs w:val="19"/>
        </w:rPr>
        <w:t xml:space="preserve">our total liability to you for all claims that do not arise under the Australian Consumer Law, however arising, whether in contract, in tort including negligence, under statute or otherwise, is limited in aggregate to $2,000</w:t>
      </w:r>
    </w:p>
    <w:p>
      <w:pPr>
        <w:spacing w:after="120" w:line="258"/>
      </w:pPr>
      <w:r>
        <w:rPr>
          <w:rFonts w:ascii="Calibri" w:cs="Calibri" w:eastAsia="Calibri" w:hAnsi="Calibri"/>
          <w:color w:val="333F46"/>
          <w:sz w:val="19"/>
          <w:szCs w:val="19"/>
        </w:rPr>
        <w:t xml:space="preserve">We do not exclude or limit our liability for fraud or fraudulent misrepresentation, or for death or personal injury caused by our negligence. Nothing in this clause limits your rights, or our liability, under clause 1.</w:t>
      </w:r>
    </w:p>
    <w:p>
      <w:pPr>
        <w:pStyle w:val="Heading1"/>
        <w:spacing w:after="130" w:before="280"/>
      </w:pPr>
      <w:r>
        <w:rPr>
          <w:rFonts w:ascii="Calibri" w:cs="Calibri" w:eastAsia="Calibri" w:hAnsi="Calibri"/>
          <w:b/>
          <w:bCs/>
          <w:color w:val="0F5C50"/>
          <w:sz w:val="24"/>
          <w:szCs w:val="24"/>
        </w:rPr>
        <w:t xml:space="preserve">13. The website, and if we cannot produce your report</w:t>
      </w:r>
    </w:p>
    <w:p>
      <w:pPr>
        <w:spacing w:after="120" w:line="258"/>
      </w:pPr>
      <w:r>
        <w:rPr>
          <w:rFonts w:ascii="Calibri" w:cs="Calibri" w:eastAsia="Calibri" w:hAnsi="Calibri"/>
          <w:color w:val="333F46"/>
          <w:sz w:val="19"/>
          <w:szCs w:val="19"/>
        </w:rPr>
        <w:t xml:space="preserve">This clause is subject to clause 1.</w:t>
      </w:r>
    </w:p>
    <w:p>
      <w:pPr>
        <w:spacing w:after="120" w:line="258"/>
      </w:pPr>
      <w:r>
        <w:rPr>
          <w:rFonts w:ascii="Calibri" w:cs="Calibri" w:eastAsia="Calibri" w:hAnsi="Calibri"/>
          <w:color w:val="333F46"/>
          <w:sz w:val="19"/>
          <w:szCs w:val="19"/>
        </w:rPr>
        <w:t xml:space="preserve">We try to keep the website available, but we do not promise it will be available at all times or free of faults. We may change, suspend or withdraw the website or the service for the future.</w:t>
      </w:r>
    </w:p>
    <w:p>
      <w:pPr>
        <w:spacing w:after="120" w:line="258"/>
      </w:pPr>
      <w:r>
        <w:rPr>
          <w:rFonts w:ascii="Calibri" w:cs="Calibri" w:eastAsia="Calibri" w:hAnsi="Calibri"/>
          <w:color w:val="333F46"/>
          <w:sz w:val="19"/>
          <w:szCs w:val="19"/>
        </w:rPr>
        <w:t xml:space="preserve">If you have already placed and paid for an order, we will produce and deliver your report. If we are unable to produce a report for your property — for example because the public sources for that jurisdiction are unavailable, because the property cannot be identified, or because our internal checks show we cannot produce a report we are prepared to stand behind — we will tell you as soon as we know, and refund the full price within 5 business days. </w:t>
      </w:r>
      <w:r>
        <w:rPr>
          <w:rFonts w:ascii="Calibri" w:cs="Calibri" w:eastAsia="Calibri" w:hAnsi="Calibri"/>
          <w:b/>
          <w:bCs/>
          <w:color w:val="333F46"/>
          <w:sz w:val="19"/>
          <w:szCs w:val="19"/>
        </w:rPr>
        <w:t xml:space="preserve">Refunding you in those circumstances does not limit any other right or remedy you have under clause 1 or clause 8, and it does not mean you have accepted the refund as your only remedy.</w:t>
      </w:r>
    </w:p>
    <w:p>
      <w:pPr>
        <w:spacing w:after="120" w:line="258"/>
      </w:pPr>
      <w:r>
        <w:rPr>
          <w:rFonts w:ascii="Calibri" w:cs="Calibri" w:eastAsia="Calibri" w:hAnsi="Calibri"/>
          <w:color w:val="333F46"/>
          <w:sz w:val="19"/>
          <w:szCs w:val="19"/>
        </w:rPr>
        <w:t xml:space="preserve">The website may include mapping features provided by Google. Your use of those features is also subject to the Google Maps/Google Earth Additional Terms of Service and the Google Privacy Policy.</w:t>
      </w:r>
    </w:p>
    <w:p>
      <w:pPr>
        <w:pStyle w:val="Heading1"/>
        <w:spacing w:after="130" w:before="280"/>
      </w:pPr>
      <w:r>
        <w:rPr>
          <w:rFonts w:ascii="Calibri" w:cs="Calibri" w:eastAsia="Calibri" w:hAnsi="Calibri"/>
          <w:b/>
          <w:bCs/>
          <w:color w:val="0F5C50"/>
          <w:sz w:val="24"/>
          <w:szCs w:val="24"/>
        </w:rPr>
        <w:t xml:space="preserve">14. Privacy</w:t>
      </w:r>
    </w:p>
    <w:p>
      <w:pPr>
        <w:spacing w:after="120" w:line="258"/>
      </w:pPr>
      <w:r>
        <w:rPr>
          <w:rFonts w:ascii="Calibri" w:cs="Calibri" w:eastAsia="Calibri" w:hAnsi="Calibri"/>
          <w:color w:val="333F46"/>
          <w:sz w:val="19"/>
          <w:szCs w:val="19"/>
        </w:rPr>
        <w:t xml:space="preserve">Our Privacy Policy explains what personal information we collect, how we use it, who we disclose it to including overseas recipients, and how you can access or correct it. The version that applies to your order is the version published on the website when you placed your order.</w:t>
      </w:r>
    </w:p>
    <w:p>
      <w:pPr>
        <w:spacing w:after="120" w:line="258"/>
      </w:pPr>
      <w:r>
        <w:rPr>
          <w:rFonts w:ascii="Calibri" w:cs="Calibri" w:eastAsia="Calibri" w:hAnsi="Calibri"/>
          <w:b/>
          <w:bCs/>
          <w:color w:val="333F46"/>
          <w:sz w:val="19"/>
          <w:szCs w:val="19"/>
        </w:rPr>
        <w:t xml:space="preserve">The Privacy Policy is not incorporated into these terms as a contractual term. We are nonetheless bound by what it says: it is a public statement about how we handle your information, and we hold ourselves to it.</w:t>
      </w:r>
    </w:p>
    <w:p>
      <w:pPr>
        <w:pStyle w:val="Heading1"/>
        <w:spacing w:after="130" w:before="280"/>
      </w:pPr>
      <w:r>
        <w:rPr>
          <w:rFonts w:ascii="Calibri" w:cs="Calibri" w:eastAsia="Calibri" w:hAnsi="Calibri"/>
          <w:b/>
          <w:bCs/>
          <w:color w:val="0F5C50"/>
          <w:sz w:val="24"/>
          <w:szCs w:val="24"/>
        </w:rPr>
        <w:t xml:space="preserve">15. Emails we send you</w:t>
      </w:r>
    </w:p>
    <w:p>
      <w:pPr>
        <w:spacing w:after="120" w:line="258"/>
      </w:pPr>
      <w:r>
        <w:rPr>
          <w:rFonts w:ascii="Calibri" w:cs="Calibri" w:eastAsia="Calibri" w:hAnsi="Calibri"/>
          <w:color w:val="333F46"/>
          <w:sz w:val="19"/>
          <w:szCs w:val="19"/>
        </w:rPr>
        <w:t>We will email you your report and your receipt. If you buy a Snapshot, the email that delivers it also contains your upgrade link. We may also send you one follow-up email asking for a review. Every marketing email we send has a working unsubscribe link, and if you unsubscribe we will not send you further marketing email. We will still email you about anything necessary to complete an order you have placed.</w:t>
      </w:r>
    </w:p>
    <w:p>
      <w:pPr>
        <w:pStyle w:val="Heading1"/>
        <w:spacing w:after="130" w:before="280"/>
      </w:pPr>
      <w:r>
        <w:rPr>
          <w:rFonts w:ascii="Calibri" w:cs="Calibri" w:eastAsia="Calibri" w:hAnsi="Calibri"/>
          <w:b/>
          <w:bCs/>
          <w:color w:val="0F5C50"/>
          <w:sz w:val="24"/>
          <w:szCs w:val="24"/>
        </w:rPr>
        <w:t xml:space="preserve">16. Changes to these terms</w:t>
      </w:r>
    </w:p>
    <w:p>
      <w:pPr>
        <w:spacing w:after="120" w:line="258"/>
      </w:pPr>
      <w:r>
        <w:rPr>
          <w:rFonts w:ascii="Calibri" w:cs="Calibri" w:eastAsia="Calibri" w:hAnsi="Calibri"/>
          <w:b/>
          <w:bCs/>
          <w:color w:val="333F46"/>
          <w:sz w:val="19"/>
          <w:szCs w:val="19"/>
        </w:rPr>
        <w:t xml:space="preserve">The terms that apply to your order are the terms published on the website at the time you place your order — that is, when your payment is processed. </w:t>
      </w:r>
      <w:r>
        <w:rPr>
          <w:rFonts w:ascii="Calibri" w:cs="Calibri" w:eastAsia="Calibri" w:hAnsi="Calibri"/>
          <w:color w:val="333F46"/>
          <w:sz w:val="19"/>
          <w:szCs w:val="19"/>
        </w:rPr>
        <w:t xml:space="preserve">We may change these terms for future orders. We will not change the terms of an order you have already placed. Each version is dated, and we keep the current version on the website.</w:t>
      </w:r>
    </w:p>
    <w:p>
      <w:pPr>
        <w:pStyle w:val="Heading1"/>
        <w:spacing w:after="130" w:before="280"/>
      </w:pPr>
      <w:r>
        <w:rPr>
          <w:rFonts w:ascii="Calibri" w:cs="Calibri" w:eastAsia="Calibri" w:hAnsi="Calibri"/>
          <w:b/>
          <w:bCs/>
          <w:color w:val="0F5C50"/>
          <w:sz w:val="24"/>
          <w:szCs w:val="24"/>
        </w:rPr>
        <w:t xml:space="preserve">17. General</w:t>
      </w:r>
    </w:p>
    <w:p>
      <w:pPr>
        <w:spacing w:after="120" w:line="258"/>
      </w:pPr>
      <w:r>
        <w:rPr>
          <w:rFonts w:ascii="Calibri" w:cs="Calibri" w:eastAsia="Calibri" w:hAnsi="Calibri"/>
          <w:b/>
          <w:bCs/>
          <w:color w:val="333F46"/>
          <w:sz w:val="19"/>
          <w:szCs w:val="19"/>
        </w:rPr>
        <w:t xml:space="preserve">Events outside our control. </w:t>
      </w:r>
      <w:r>
        <w:rPr>
          <w:rFonts w:ascii="Calibri" w:cs="Calibri" w:eastAsia="Calibri" w:hAnsi="Calibri"/>
          <w:color w:val="333F46"/>
          <w:sz w:val="19"/>
          <w:szCs w:val="19"/>
        </w:rPr>
        <w:t xml:space="preserve">If we are prevented or delayed from producing or delivering your report by something outside our reasonable control — an extended outage of a government data source or of a service provider we depend on, a failure of the internet or of electricity supply, a natural disaster, or a change in law — we are not in breach for the period we are affected, provided we tell you promptly and do what we reasonably can to work around it. If the delay continues for more than 10 business days, either of us may cancel and we will refund you in full. This clause is subject to clause 1 and does not limit your rights under it.</w:t>
      </w:r>
    </w:p>
    <w:p>
      <w:pPr>
        <w:spacing w:after="120" w:line="258"/>
      </w:pPr>
      <w:r>
        <w:rPr>
          <w:rFonts w:ascii="Calibri" w:cs="Calibri" w:eastAsia="Calibri" w:hAnsi="Calibri"/>
          <w:b/>
          <w:bCs/>
          <w:color w:val="333F46"/>
          <w:sz w:val="19"/>
          <w:szCs w:val="19"/>
        </w:rPr>
        <w:t xml:space="preserve">Assignment. </w:t>
      </w:r>
      <w:r>
        <w:rPr>
          <w:rFonts w:ascii="Calibri" w:cs="Calibri" w:eastAsia="Calibri" w:hAnsi="Calibri"/>
          <w:color w:val="333F46"/>
          <w:sz w:val="19"/>
          <w:szCs w:val="19"/>
        </w:rPr>
        <w:t>We may transfer our rights and obligations under these terms to another business, for example if the business is sold, provided that does not reduce your rights. You may not transfer your rights under these terms to someone else without our agreement, although you may of course give your report to the people described in clause 9.</w:t>
      </w:r>
    </w:p>
    <w:p>
      <w:pPr>
        <w:spacing w:after="120" w:line="258"/>
      </w:pPr>
      <w:r>
        <w:rPr>
          <w:rFonts w:ascii="Calibri" w:cs="Calibri" w:eastAsia="Calibri" w:hAnsi="Calibri"/>
          <w:color w:val="333F46"/>
          <w:sz w:val="19"/>
          <w:szCs w:val="19"/>
        </w:rPr>
        <w:t xml:space="preserve">These terms are governed by the law of Western Australia, and you and we submit to the non-exclusive jurisdiction of the courts of Western Australia and any courts that may hear appeals from them. If you live in another state or territory, nothing in this clause prevents you from bringing a claim where you live, or from taking a matter to a consumer protection regulator or a tribunal in your own jurisdiction.</w:t>
      </w:r>
    </w:p>
    <w:p>
      <w:pPr>
        <w:spacing w:after="120" w:line="258"/>
      </w:pPr>
      <w:r>
        <w:rPr>
          <w:rFonts w:ascii="Calibri" w:cs="Calibri" w:eastAsia="Calibri" w:hAnsi="Calibri"/>
          <w:color w:val="333F46"/>
          <w:sz w:val="19"/>
          <w:szCs w:val="19"/>
        </w:rPr>
        <w:t xml:space="preserve">If any part of these terms is found to be unenforceable, that part is severed and the rest continues to apply. A delay by us in enforcing a right is not a waiver of it. These terms may be formed and evidenced electronically.</w:t>
      </w:r>
    </w:p>
    <w:p>
      <w:pPr>
        <w:pStyle w:val="Heading1"/>
        <w:spacing w:after="130" w:before="280"/>
      </w:pPr>
      <w:r>
        <w:rPr>
          <w:rFonts w:ascii="Calibri" w:cs="Calibri" w:eastAsia="Calibri" w:hAnsi="Calibri"/>
          <w:b/>
          <w:bCs/>
          <w:color w:val="0F5C50"/>
          <w:sz w:val="24"/>
          <w:szCs w:val="24"/>
        </w:rPr>
        <w:t xml:space="preserve">18. Contact us</w:t>
      </w:r>
    </w:p>
    <w:p>
      <w:pPr>
        <w:spacing w:after="120" w:line="258"/>
      </w:pPr>
      <w:r>
        <w:rPr>
          <w:rFonts w:ascii="Calibri" w:cs="Calibri" w:eastAsia="Calibri" w:hAnsi="Calibri"/>
          <w:color w:val="333F46"/>
          <w:sz w:val="19"/>
          <w:szCs w:val="19"/>
        </w:rPr>
        <w:t xml:space="preserve">We would rather hear about a problem than have you rely on something wrong.</w:t>
      </w:r>
    </w:p>
    <w:p>
      <w:pPr>
        <w:spacing w:after="40" w:line="258"/>
      </w:pPr>
      <w:r>
        <w:rPr>
          <w:rFonts w:ascii="Calibri" w:cs="Calibri" w:eastAsia="Calibri" w:hAnsi="Calibri"/>
          <w:b/>
          <w:bCs/>
          <w:color w:val="333F46"/>
          <w:sz w:val="19"/>
          <w:szCs w:val="19"/>
        </w:rPr>
        <w:t xml:space="preserve">Forge BC Pty Ltd  ·  ABN 11 669 059 054</w:t>
      </w:r>
    </w:p>
    <w:p>
      <w:pPr>
        <w:spacing w:after="40" w:line="258"/>
      </w:pPr>
      <w:r>
        <w:rPr>
          <w:rFonts w:ascii="Calibri" w:cs="Calibri" w:eastAsia="Calibri" w:hAnsi="Calibri"/>
          <w:color w:val="333F46"/>
          <w:sz w:val="19"/>
          <w:szCs w:val="19"/>
        </w:rPr>
        <w:t xml:space="preserve">hello@subdivisionchecker.com.au</w:t>
      </w:r>
    </w:p>
    <w:p>
      <w:pPr>
        <w:spacing w:after="40" w:line="258"/>
      </w:pPr>
      <w:r>
        <w:rPr>
          <w:rFonts w:ascii="Calibri" w:cs="Calibri" w:eastAsia="Calibri" w:hAnsi="Calibri"/>
          <w:color w:val="333F46"/>
          <w:sz w:val="19"/>
          <w:szCs w:val="19"/>
        </w:rPr>
        <w:t xml:space="preserve">PO Box 4419, Baldivis WA 6171</w:t>
      </w:r>
    </w:p>
    <w:p>
      <w:pPr>
        <w:spacing w:after="120" w:line="258"/>
      </w:pPr>
      <w:r>
        <w:rPr>
          <w:rFonts w:ascii="Calibri" w:cs="Calibri" w:eastAsia="Calibri" w:hAnsi="Calibri"/>
          <w:color w:val="333F46"/>
          <w:sz w:val="19"/>
          <w:szCs w:val="19"/>
        </w:rPr>
        <w:t xml:space="preserve">If we cannot resolve a complaint, you may contact Consumer Protection at the Department of Local Government, Industry Regulation and Safety in Western Australia (consumerprotection.wa.gov.au), or the consumer protection regulator in your own state or territory. You may also report conduct to the Australian Competition and Consumer Commission, although the ACCC does not resolve individual disputes.</w:t>
      </w:r>
    </w:p>
    <w:p>
      <w:pPr>
        <w:pBdr>
          <w:bottom w:val="single" w:color="D6DEE3" w:sz="6" w:space="8"/>
        </w:pBdr>
        <w:spacing w:after="160" w:before="140"/>
      </w:pPr>
      <w:r>
        <w:rPr>
          <w:sz w:val="2"/>
          <w:szCs w:val="2"/>
        </w:rPr>
        <w:t xml:space="preserve"/>
      </w:r>
    </w:p>
    <w:p>
      <w:pPr>
        <w:spacing w:after="0" w:line="258"/>
      </w:pPr>
      <w:r>
        <w:rPr>
          <w:rFonts w:ascii="Calibri" w:cs="Calibri" w:eastAsia="Calibri" w:hAnsi="Calibri"/>
          <w:color w:val="333F46"/>
          <w:sz w:val="19"/>
          <w:szCs w:val="19"/>
        </w:rPr>
        <w:t>Version 1.3, 13 October 2026. Forge BC Pty Ltd (ABN 11 669 059 054), PO Box 4419, Baldivis WA 6171.</w:t>
      </w:r>
    </w:p>
    <w:sectPr>
      <w:headerReference w:type="default" r:id="rId8"/>
      <w:footerReference w:type="default" r:id="rId9"/>
      <w:headerReference w:type="first" r:id="rId10"/>
      <w:footerReference w:type="first" r:id="rId11"/>
      <w:headerReference w:type="even" r:id="rId12"/>
      <w:footerReference w:type="even" r:id="rId13"/>
      <w:pgSz w:w="11906" w:h="16838" w:orient="portrait"/>
      <w:pgMar w:top="1080" w:right="1200" w:bottom="10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header" Target="header2.xml"/><Relationship Id="rId11" Type="http://schemas.openxmlformats.org/officeDocument/2006/relationships/footer" Target="footer2.xml"/><Relationship Id="rId12" Type="http://schemas.openxmlformats.org/officeDocument/2006/relationships/header" Target="header3.xml"/><Relationship Id="rId13"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2026-08-27T13:16:36.193Z</dcterms:created>
  <dcterms:modified xsi:type="dcterms:W3CDTF">2026-08-27T13:16:36.211Z</dcterms:modified>
</cp:coreProperties>
</file>

<file path=docProps/custom.xml><?xml version="1.0" encoding="utf-8"?>
<Properties xmlns="http://schemas.openxmlformats.org/officeDocument/2006/custom-properties" xmlns:vt="http://schemas.openxmlformats.org/officeDocument/2006/docPropsVTypes"/>
</file>