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50"/>
      </w:pPr>
      <w:r>
        <w:rPr>
          <w:rFonts w:ascii="Calibri" w:cs="Calibri" w:eastAsia="Calibri" w:hAnsi="Calibri"/>
          <w:b/>
          <w:bCs/>
          <w:color w:val="0F5C50"/>
          <w:sz w:val="36"/>
          <w:szCs w:val="36"/>
        </w:rPr>
        <w:t xml:space="preserve">Refund Policy</w:t>
      </w:r>
    </w:p>
    <w:p>
      <w:pPr>
        <w:spacing w:after="20" w:line="258"/>
      </w:pPr>
      <w:r>
        <w:rPr>
          <w:rFonts w:ascii="Calibri" w:cs="Calibri" w:eastAsia="Calibri" w:hAnsi="Calibri"/>
          <w:b/>
          <w:bCs/>
          <w:color w:val="0F5C50"/>
          <w:sz w:val="19"/>
          <w:szCs w:val="19"/>
        </w:rPr>
        <w:t>Subdivision Checker  ·  Forge BC Pty Ltd (ABN 11 669 059 054)  ·  Version 1.2 · 13 October 2026</w:t>
      </w:r>
    </w:p>
    <w:p>
      <w:pPr>
        <w:pBdr>
          <w:bottom w:val="single" w:color="D6DEE3" w:sz="6" w:space="8"/>
        </w:pBdr>
        <w:spacing w:after="160" w:before="140"/>
      </w:pPr>
      <w:r>
        <w:rPr>
          <w:sz w:val="2"/>
          <w:szCs w:val="2"/>
        </w:rPr>
        <w:t xml:space="preserve"/>
      </w:r>
    </w:p>
    <w:p>
      <w:pPr>
        <w:spacing w:after="120" w:line="258"/>
      </w:pPr>
      <w:r>
        <w:rPr>
          <w:rFonts w:ascii="Calibri" w:cs="Calibri" w:eastAsia="Calibri" w:hAnsi="Calibri"/>
          <w:color w:val="333F46"/>
          <w:sz w:val="19"/>
          <w:szCs w:val="19"/>
        </w:rPr>
        <w:t xml:space="preserve">This policy explains when we refund a report and when we do not. It sits alongside our Terms of Sale, and it does not limit anything in them.</w:t>
      </w:r>
    </w:p>
    <w:p>
      <w:pPr>
        <w:pBdr>
          <w:top w:val="single" w:color="0F5C50" w:sz="6" w:space="10"/>
          <w:bottom w:val="single" w:color="0F5C50" w:sz="6" w:space="10"/>
          <w:left w:val="single" w:color="0F5C50" w:sz="18" w:space="10"/>
          <w:right w:val="single" w:color="0F5C50" w:sz="6" w:space="10"/>
        </w:pBdr>
        <w:shd w:fill="EEF4F2" w:val="clear"/>
        <w:spacing w:after="150" w:before="150" w:line="258"/>
        <w:ind w:left="120" w:right="120"/>
      </w:pPr>
      <w:r>
        <w:rPr>
          <w:rFonts w:ascii="Calibri" w:cs="Calibri" w:eastAsia="Calibri" w:hAnsi="Calibri"/>
          <w:b/>
          <w:bCs/>
          <w:color w:val="333F46"/>
          <w:sz w:val="19"/>
          <w:szCs w:val="19"/>
        </w:rPr>
        <w:t xml:space="preserve">Nothing in this policy excludes, restricts or modifies any guarantee, right or remedy you have under the Australian Consumer Law or any other law that cannot lawfully be excluded. </w:t>
      </w:r>
      <w:r>
        <w:rPr>
          <w:rFonts w:ascii="Calibri" w:cs="Calibri" w:eastAsia="Calibri" w:hAnsi="Calibri"/>
          <w:color w:val="333F46"/>
          <w:sz w:val="19"/>
          <w:szCs w:val="19"/>
        </w:rPr>
        <w:t xml:space="preserve">Where this policy and those rights differ, those rights prevail. This policy describes how we apply them; it does not replace them.</w:t>
      </w:r>
    </w:p>
    <w:p>
      <w:pPr>
        <w:pStyle w:val="Heading1"/>
        <w:spacing w:after="130" w:before="280"/>
      </w:pPr>
      <w:r>
        <w:rPr>
          <w:rFonts w:ascii="Calibri" w:cs="Calibri" w:eastAsia="Calibri" w:hAnsi="Calibri"/>
          <w:b/>
          <w:bCs/>
          <w:color w:val="0F5C50"/>
          <w:sz w:val="24"/>
          <w:szCs w:val="24"/>
        </w:rPr>
        <w:t xml:space="preserve">The short version</w:t>
      </w:r>
    </w:p>
    <w:p>
      <w:pPr>
        <w:spacing w:after="120" w:line="258"/>
      </w:pPr>
      <w:r>
        <w:rPr>
          <w:rFonts w:ascii="Calibri" w:cs="Calibri" w:eastAsia="Calibri" w:hAnsi="Calibri"/>
          <w:color w:val="333F46"/>
          <w:sz w:val="19"/>
          <w:szCs w:val="19"/>
        </w:rPr>
        <w:t xml:space="preserve">If something is genuinely wrong with your report, tell us and we will put it right. If the report is correct and you simply did not like the answer it gave you, that is not a refund — and we say so up front rather than after you have paid.</w:t>
      </w:r>
    </w:p>
    <w:p>
      <w:pPr>
        <w:spacing w:after="120" w:line="258"/>
      </w:pPr>
      <w:r>
        <w:rPr>
          <w:rFonts w:ascii="Calibri" w:cs="Calibri" w:eastAsia="Calibri" w:hAnsi="Calibri"/>
          <w:color w:val="333F46"/>
          <w:sz w:val="19"/>
          <w:szCs w:val="19"/>
        </w:rPr>
        <w:t xml:space="preserve">We think that is fair to both sides. A great many of our reports tell people that their idea will not work. That is often the most valuable thing we can tell someone, and it costs us exactly the same to produce as a report that says yes.</w:t>
      </w:r>
    </w:p>
    <w:p>
      <w:pPr>
        <w:pStyle w:val="Heading1"/>
        <w:spacing w:after="130" w:before="280"/>
      </w:pPr>
      <w:r>
        <w:rPr>
          <w:rFonts w:ascii="Calibri" w:cs="Calibri" w:eastAsia="Calibri" w:hAnsi="Calibri"/>
          <w:b/>
          <w:bCs/>
          <w:color w:val="0F5C50"/>
          <w:sz w:val="24"/>
          <w:szCs w:val="24"/>
        </w:rPr>
        <w:t xml:space="preserve">When we will refund you</w:t>
      </w:r>
    </w:p>
    <w:p>
      <w:pPr>
        <w:pStyle w:val="Heading2"/>
        <w:spacing w:after="90" w:before="180"/>
      </w:pPr>
      <w:r>
        <w:rPr>
          <w:rFonts w:ascii="Calibri" w:cs="Calibri" w:eastAsia="Calibri" w:hAnsi="Calibri"/>
          <w:b/>
          <w:bCs/>
          <w:color w:val="333F46"/>
          <w:sz w:val="20"/>
          <w:szCs w:val="20"/>
        </w:rPr>
        <w:t xml:space="preserve">Before we start</w:t>
      </w:r>
    </w:p>
    <w:p>
      <w:pPr>
        <w:spacing w:after="120" w:line="258"/>
      </w:pPr>
      <w:r>
        <w:rPr>
          <w:rFonts w:ascii="Calibri" w:cs="Calibri" w:eastAsia="Calibri" w:hAnsi="Calibri"/>
          <w:color w:val="333F46"/>
          <w:sz w:val="19"/>
          <w:szCs w:val="19"/>
        </w:rPr>
        <w:t xml:space="preserve">If you contact us before we have begun producing your report, we will cancel it and refund you in full, no questions asked. In practice this window is short, because production starts immediately.</w:t>
      </w:r>
    </w:p>
    <w:p>
      <w:pPr>
        <w:pStyle w:val="Heading2"/>
        <w:spacing w:after="90" w:before="180"/>
      </w:pPr>
      <w:r>
        <w:rPr>
          <w:rFonts w:ascii="Calibri" w:cs="Calibri" w:eastAsia="Calibri" w:hAnsi="Calibri"/>
          <w:b/>
          <w:bCs/>
          <w:color w:val="333F46"/>
          <w:sz w:val="20"/>
          <w:szCs w:val="20"/>
        </w:rPr>
        <w:t xml:space="preserve">If we cannot produce your report</w:t>
      </w:r>
    </w:p>
    <w:p>
      <w:pPr>
        <w:spacing w:after="120" w:line="258"/>
      </w:pPr>
      <w:r>
        <w:rPr>
          <w:rFonts w:ascii="Calibri" w:cs="Calibri" w:eastAsia="Calibri" w:hAnsi="Calibri"/>
          <w:color w:val="333F46"/>
          <w:sz w:val="19"/>
          <w:szCs w:val="19"/>
        </w:rPr>
        <w:t xml:space="preserve">If we cannot produce a report for your property — because the public sources for that jurisdiction are unavailable, because the property cannot be identified, or because our own checks tell us we cannot produce a report we are prepared to stand behind — we will tell you and refund the full price within 5 business days.</w:t>
      </w:r>
    </w:p>
    <w:p>
      <w:pPr>
        <w:pStyle w:val="Heading2"/>
        <w:spacing w:after="90" w:before="180"/>
      </w:pPr>
      <w:r>
        <w:rPr>
          <w:rFonts w:ascii="Calibri" w:cs="Calibri" w:eastAsia="Calibri" w:hAnsi="Calibri"/>
          <w:b/>
          <w:bCs/>
          <w:color w:val="333F46"/>
          <w:sz w:val="20"/>
          <w:szCs w:val="20"/>
        </w:rPr>
        <w:t xml:space="preserve">If we got the wrong property</w:t>
      </w:r>
    </w:p>
    <w:p>
      <w:pPr>
        <w:spacing w:after="120" w:line="258"/>
      </w:pPr>
      <w:r>
        <w:rPr>
          <w:rFonts w:ascii="Calibri" w:cs="Calibri" w:eastAsia="Calibri" w:hAnsi="Calibri"/>
          <w:color w:val="333F46"/>
          <w:sz w:val="19"/>
          <w:szCs w:val="19"/>
        </w:rPr>
        <w:t xml:space="preserve">If we produced a report for a property other than the one you asked for, and the error was ours, we will produce the correct report at no charge or refund you in full, whichever you prefer.</w:t>
      </w:r>
    </w:p>
    <w:p>
      <w:pPr>
        <w:pStyle w:val="Heading2"/>
        <w:spacing w:after="90" w:before="180"/>
      </w:pPr>
      <w:r>
        <w:rPr>
          <w:rFonts w:ascii="Calibri" w:cs="Calibri" w:eastAsia="Calibri" w:hAnsi="Calibri"/>
          <w:b/>
          <w:bCs/>
          <w:color w:val="333F46"/>
          <w:sz w:val="20"/>
          <w:szCs w:val="20"/>
        </w:rPr>
        <w:t xml:space="preserve">If there is a major failure</w:t>
      </w:r>
    </w:p>
    <w:p>
      <w:pPr>
        <w:spacing w:after="120" w:line="258"/>
      </w:pPr>
      <w:r>
        <w:rPr>
          <w:rFonts w:ascii="Calibri" w:cs="Calibri" w:eastAsia="Calibri" w:hAnsi="Calibri"/>
          <w:b w:val="false"/>
          <w:bCs w:val="false"/>
          <w:color w:val="333F46"/>
          <w:sz w:val="19"/>
          <w:szCs w:val="19"/>
        </w:rPr>
        <w:t xml:space="preserve">Under the Australian Consumer Law, if there is a major failure with the service you may choose to cancel and obtain a refund, or to keep the report and recover compensation for the difference between what you paid and the value of what you received. </w:t>
      </w:r>
      <w:r>
        <w:rPr>
          <w:rFonts w:ascii="Calibri" w:cs="Calibri" w:eastAsia="Calibri" w:hAnsi="Calibri"/>
          <w:b/>
          <w:bCs/>
          <w:color w:val="333F46"/>
          <w:sz w:val="19"/>
          <w:szCs w:val="19"/>
        </w:rPr>
        <w:t xml:space="preserve">That choice is yours, not ours.</w:t>
      </w:r>
      <w:r>
        <w:rPr>
          <w:rFonts w:ascii="Calibri" w:cs="Calibri" w:eastAsia="Calibri" w:hAnsi="Calibri"/>
          <w:color w:val="333F46"/>
          <w:sz w:val="19"/>
          <w:szCs w:val="19"/>
        </w:rPr>
        <w:t xml:space="preserve"> You may also recover compensation for any other reasonably foreseeable loss.</w:t>
      </w:r>
    </w:p>
    <w:p>
      <w:pPr>
        <w:spacing w:after="120" w:line="258"/>
      </w:pPr>
      <w:r>
        <w:rPr>
          <w:rFonts w:ascii="Calibri" w:cs="Calibri" w:eastAsia="Calibri" w:hAnsi="Calibri"/>
          <w:color w:val="333F46"/>
          <w:sz w:val="19"/>
          <w:szCs w:val="19"/>
        </w:rPr>
        <w:t xml:space="preserve">A failure is major where, broadly, a reasonable person who knew the full extent of the problem would not have bought the report, or where the report is substantially unfit for its purpose and cannot be put right within a reasonable time. Examples of what would ordinarily be a major failure:</w:t>
      </w:r>
    </w:p>
    <w:p>
      <w:pPr>
        <w:pStyle w:val="ListParagraph"/>
        <w:numPr>
          <w:ilvl w:val="0"/>
          <w:numId w:val="2"/>
        </w:numPr>
        <w:spacing w:after="70" w:line="258"/>
      </w:pPr>
      <w:r>
        <w:rPr>
          <w:rFonts w:ascii="Calibri" w:cs="Calibri" w:eastAsia="Calibri" w:hAnsi="Calibri"/>
          <w:color w:val="333F46"/>
          <w:sz w:val="19"/>
          <w:szCs w:val="19"/>
        </w:rPr>
        <w:t xml:space="preserve">the report is about the wrong property</w:t>
      </w:r>
    </w:p>
    <w:p>
      <w:pPr>
        <w:pStyle w:val="ListParagraph"/>
        <w:numPr>
          <w:ilvl w:val="0"/>
          <w:numId w:val="2"/>
        </w:numPr>
        <w:spacing w:after="70" w:line="258"/>
      </w:pPr>
      <w:r>
        <w:rPr>
          <w:rFonts w:ascii="Calibri" w:cs="Calibri" w:eastAsia="Calibri" w:hAnsi="Calibri"/>
          <w:color w:val="333F46"/>
          <w:sz w:val="19"/>
          <w:szCs w:val="19"/>
        </w:rPr>
        <w:t xml:space="preserve">the report states a planning provision, zone, instrument or register entry that does not exist</w:t>
      </w:r>
    </w:p>
    <w:p>
      <w:pPr>
        <w:pStyle w:val="ListParagraph"/>
        <w:numPr>
          <w:ilvl w:val="0"/>
          <w:numId w:val="2"/>
        </w:numPr>
        <w:spacing w:after="70" w:line="258"/>
      </w:pPr>
      <w:r>
        <w:rPr>
          <w:rFonts w:ascii="Calibri" w:cs="Calibri" w:eastAsia="Calibri" w:hAnsi="Calibri"/>
          <w:color w:val="333F46"/>
          <w:sz w:val="19"/>
          <w:szCs w:val="19"/>
        </w:rPr>
        <w:t xml:space="preserve">the report reaches its central conclusion by misreading a source in a way that reverses the answer</w:t>
      </w:r>
    </w:p>
    <w:p>
      <w:pPr>
        <w:pStyle w:val="ListParagraph"/>
        <w:numPr>
          <w:ilvl w:val="0"/>
          <w:numId w:val="2"/>
        </w:numPr>
        <w:spacing w:after="70" w:line="258"/>
      </w:pPr>
      <w:r>
        <w:rPr>
          <w:rFonts w:ascii="Calibri" w:cs="Calibri" w:eastAsia="Calibri" w:hAnsi="Calibri"/>
          <w:color w:val="333F46"/>
          <w:sz w:val="19"/>
          <w:szCs w:val="19"/>
        </w:rPr>
        <w:t xml:space="preserve">the report omits an entire matter it says it covers, and that matter changes the outcome</w:t>
      </w:r>
    </w:p>
    <w:p>
      <w:pPr>
        <w:spacing w:after="120" w:line="258"/>
      </w:pPr>
      <w:r>
        <w:rPr>
          <w:rFonts w:ascii="Calibri" w:cs="Calibri" w:eastAsia="Calibri" w:hAnsi="Calibri"/>
          <w:b/>
          <w:bCs/>
          <w:color w:val="333F46"/>
          <w:sz w:val="19"/>
          <w:szCs w:val="19"/>
        </w:rPr>
        <w:t xml:space="preserve">Whether a failure is major is decided by the law and the facts, not by us. </w:t>
      </w:r>
      <w:r>
        <w:rPr>
          <w:rFonts w:ascii="Calibri" w:cs="Calibri" w:eastAsia="Calibri" w:hAnsi="Calibri"/>
          <w:color w:val="333F46"/>
          <w:sz w:val="19"/>
          <w:szCs w:val="19"/>
        </w:rPr>
        <w:t xml:space="preserve">If we tell you a problem is not major and you disagree, you are entitled to say so and to take it further. We will not treat that as a reason to stop helping you.</w:t>
      </w:r>
    </w:p>
    <w:p>
      <w:pPr>
        <w:pStyle w:val="Heading2"/>
        <w:spacing w:after="90" w:before="180"/>
      </w:pPr>
      <w:r>
        <w:rPr>
          <w:rFonts w:ascii="Calibri" w:cs="Calibri" w:eastAsia="Calibri" w:hAnsi="Calibri"/>
          <w:b/>
          <w:bCs/>
          <w:color w:val="333F46"/>
          <w:sz w:val="20"/>
          <w:szCs w:val="20"/>
        </w:rPr>
        <w:t xml:space="preserve">If there is a problem that is not major</w:t>
      </w:r>
    </w:p>
    <w:p>
      <w:pPr>
        <w:spacing w:after="120" w:line="258"/>
      </w:pPr>
      <w:r>
        <w:rPr>
          <w:rFonts w:ascii="Calibri" w:cs="Calibri" w:eastAsia="Calibri" w:hAnsi="Calibri"/>
          <w:color w:val="333F46"/>
          <w:sz w:val="19"/>
          <w:szCs w:val="19"/>
        </w:rPr>
        <w:t xml:space="preserve">You may require us to fix it within a reasonable time, and we will do that at our cost. If we refuse to fix it, or do not fix it within a reasonable time, you may then have it fixed elsewhere and recover the reasonable cost from us, or cancel and obtain a refund.</w:t>
      </w:r>
    </w:p>
    <w:p>
      <w:pPr>
        <w:pStyle w:val="Heading1"/>
        <w:spacing w:after="130" w:before="280"/>
      </w:pPr>
      <w:r>
        <w:rPr>
          <w:rFonts w:ascii="Calibri" w:cs="Calibri" w:eastAsia="Calibri" w:hAnsi="Calibri"/>
          <w:b/>
          <w:bCs/>
          <w:color w:val="0F5C50"/>
          <w:sz w:val="24"/>
          <w:szCs w:val="24"/>
        </w:rPr>
        <w:t xml:space="preserve">When we will not refund you</w:t>
      </w:r>
    </w:p>
    <w:p>
      <w:pPr>
        <w:spacing w:after="120" w:line="258"/>
      </w:pPr>
      <w:r>
        <w:rPr>
          <w:rFonts w:ascii="Calibri" w:cs="Calibri" w:eastAsia="Calibri" w:hAnsi="Calibri"/>
          <w:color w:val="333F46"/>
          <w:sz w:val="19"/>
          <w:szCs w:val="19"/>
        </w:rPr>
        <w:t xml:space="preserve">These are not refund reasons, and none of them is a failure of the service:</w:t>
      </w:r>
    </w:p>
    <w:p>
      <w:pPr>
        <w:pStyle w:val="ListParagraph"/>
        <w:numPr>
          <w:ilvl w:val="0"/>
          <w:numId w:val="2"/>
        </w:numPr>
        <w:spacing w:after="70" w:line="258"/>
      </w:pPr>
      <w:r>
        <w:rPr>
          <w:rFonts w:ascii="Calibri" w:cs="Calibri" w:eastAsia="Calibri" w:hAnsi="Calibri"/>
          <w:b/>
          <w:bCs/>
          <w:color w:val="333F46"/>
          <w:sz w:val="19"/>
          <w:szCs w:val="19"/>
        </w:rPr>
        <w:t xml:space="preserve">You did not like the answer. </w:t>
      </w:r>
      <w:r>
        <w:rPr>
          <w:rFonts w:ascii="Calibri" w:cs="Calibri" w:eastAsia="Calibri" w:hAnsi="Calibri"/>
          <w:color w:val="333F46"/>
          <w:sz w:val="19"/>
          <w:szCs w:val="19"/>
        </w:rPr>
        <w:t xml:space="preserve">A report saying your property cannot be subdivided, or can only be subdivided in a way that does not suit you, is the service working. It is not a defect.</w:t>
      </w:r>
    </w:p>
    <w:p>
      <w:pPr>
        <w:pStyle w:val="ListParagraph"/>
        <w:numPr>
          <w:ilvl w:val="0"/>
          <w:numId w:val="2"/>
        </w:numPr>
        <w:spacing w:after="70" w:line="258"/>
      </w:pPr>
      <w:r>
        <w:rPr>
          <w:rFonts w:ascii="Calibri" w:cs="Calibri" w:eastAsia="Calibri" w:hAnsi="Calibri"/>
          <w:b/>
          <w:bCs/>
          <w:color w:val="333F46"/>
          <w:sz w:val="19"/>
          <w:szCs w:val="19"/>
        </w:rPr>
        <w:t xml:space="preserve">You changed your mind, or bought it by mistake. </w:t>
      </w:r>
      <w:r>
        <w:rPr>
          <w:rFonts w:ascii="Calibri" w:cs="Calibri" w:eastAsia="Calibri" w:hAnsi="Calibri"/>
          <w:color w:val="333F46"/>
          <w:sz w:val="19"/>
          <w:szCs w:val="19"/>
        </w:rPr>
        <w:t xml:space="preserve">There is no cooling-off period for this kind of purchase in Australia, and once a report has been produced the work is done. If you tell us quickly we will always look at it, but we do not promise a refund.</w:t>
      </w:r>
    </w:p>
    <w:p>
      <w:pPr>
        <w:pStyle w:val="ListParagraph"/>
        <w:numPr>
          <w:ilvl w:val="0"/>
          <w:numId w:val="2"/>
        </w:numPr>
        <w:spacing w:after="70" w:line="258"/>
      </w:pPr>
      <w:r>
        <w:rPr>
          <w:rFonts w:ascii="Calibri" w:cs="Calibri" w:eastAsia="Calibri" w:hAnsi="Calibri"/>
          <w:b/>
          <w:bCs/>
          <w:color w:val="333F46"/>
          <w:sz w:val="19"/>
          <w:szCs w:val="19"/>
        </w:rPr>
        <w:t xml:space="preserve">You gave us the wrong address. </w:t>
      </w:r>
      <w:r>
        <w:rPr>
          <w:rFonts w:ascii="Calibri" w:cs="Calibri" w:eastAsia="Calibri" w:hAnsi="Calibri"/>
          <w:color w:val="333F46"/>
          <w:sz w:val="19"/>
          <w:szCs w:val="19"/>
        </w:rPr>
        <w:t xml:space="preserve">We produce the report for the address you select. If you selected the wrong one, tell us — we will usually offer to run the correct address at a reduced price. That is a gesture, not an entitlement.</w:t>
      </w:r>
    </w:p>
    <w:p>
      <w:pPr>
        <w:pStyle w:val="ListParagraph"/>
        <w:numPr>
          <w:ilvl w:val="0"/>
          <w:numId w:val="2"/>
        </w:numPr>
        <w:spacing w:after="70" w:line="258"/>
      </w:pPr>
      <w:r>
        <w:rPr>
          <w:rFonts w:ascii="Calibri" w:cs="Calibri" w:eastAsia="Calibri" w:hAnsi="Calibri"/>
          <w:b/>
          <w:bCs/>
          <w:color w:val="333F46"/>
          <w:sz w:val="19"/>
          <w:szCs w:val="19"/>
        </w:rPr>
        <w:t xml:space="preserve">A professional later disagrees with an assessment. </w:t>
      </w:r>
      <w:r>
        <w:rPr>
          <w:rFonts w:ascii="Calibri" w:cs="Calibri" w:eastAsia="Calibri" w:hAnsi="Calibri"/>
          <w:color w:val="333F46"/>
          <w:sz w:val="19"/>
          <w:szCs w:val="19"/>
        </w:rPr>
        <w:t xml:space="preserve">The report is a screening tool that tells you what to take to a professional, and it says throughout that findings need confirming. A planner forming a different view on a matter of judgement is the process working as intended, not an error. If a professional identifies a factual mistake in the report, that is different — tell us, and we will look at it.</w:t>
      </w:r>
    </w:p>
    <w:p>
      <w:pPr>
        <w:pStyle w:val="ListParagraph"/>
        <w:numPr>
          <w:ilvl w:val="0"/>
          <w:numId w:val="2"/>
        </w:numPr>
        <w:spacing w:after="70" w:line="258"/>
      </w:pPr>
      <w:r>
        <w:rPr>
          <w:rFonts w:ascii="Calibri" w:cs="Calibri" w:eastAsia="Calibri" w:hAnsi="Calibri"/>
          <w:b/>
          <w:bCs/>
          <w:color w:val="333F46"/>
          <w:sz w:val="19"/>
          <w:szCs w:val="19"/>
        </w:rPr>
        <w:t xml:space="preserve">The council or authority decided differently. </w:t>
      </w:r>
      <w:r>
        <w:rPr>
          <w:rFonts w:ascii="Calibri" w:cs="Calibri" w:eastAsia="Calibri" w:hAnsi="Calibri"/>
          <w:color w:val="333F46"/>
          <w:sz w:val="19"/>
          <w:szCs w:val="19"/>
        </w:rPr>
        <w:t xml:space="preserve">The report is not an approval and does not predict one. A refusal, or an approval on unexpected conditions, is not a failure of the report.</w:t>
      </w:r>
    </w:p>
    <w:p>
      <w:pPr>
        <w:pStyle w:val="ListParagraph"/>
        <w:numPr>
          <w:ilvl w:val="0"/>
          <w:numId w:val="2"/>
        </w:numPr>
        <w:spacing w:after="70" w:line="258"/>
      </w:pPr>
      <w:r>
        <w:rPr>
          <w:rFonts w:ascii="Calibri" w:cs="Calibri" w:eastAsia="Calibri" w:hAnsi="Calibri"/>
          <w:b/>
          <w:bCs/>
          <w:color w:val="333F46"/>
          <w:sz w:val="19"/>
          <w:szCs w:val="19"/>
        </w:rPr>
        <w:t xml:space="preserve">Something changed after the report date. </w:t>
      </w:r>
      <w:r>
        <w:rPr>
          <w:rFonts w:ascii="Calibri" w:cs="Calibri" w:eastAsia="Calibri" w:hAnsi="Calibri"/>
          <w:color w:val="333F46"/>
          <w:sz w:val="19"/>
          <w:szCs w:val="19"/>
        </w:rPr>
        <w:t xml:space="preserve">Planning schemes are amended and registers are updated. A report describes the position on the day it was produced.</w:t>
      </w:r>
    </w:p>
    <w:p>
      <w:pPr>
        <w:pStyle w:val="ListParagraph"/>
        <w:numPr>
          <w:ilvl w:val="0"/>
          <w:numId w:val="2"/>
        </w:numPr>
        <w:spacing w:after="70" w:line="258"/>
      </w:pPr>
      <w:r>
        <w:rPr>
          <w:rFonts w:ascii="Calibri" w:cs="Calibri" w:eastAsia="Calibri" w:hAnsi="Calibri"/>
          <w:b/>
          <w:bCs/>
          <w:color w:val="333F46"/>
          <w:sz w:val="19"/>
          <w:szCs w:val="19"/>
        </w:rPr>
        <w:t xml:space="preserve">You did not read the report. </w:t>
      </w:r>
      <w:r>
        <w:rPr>
          <w:rFonts w:ascii="Calibri" w:cs="Calibri" w:eastAsia="Calibri" w:hAnsi="Calibri"/>
          <w:color w:val="333F46"/>
          <w:sz w:val="19"/>
          <w:szCs w:val="19"/>
        </w:rPr>
        <w:t xml:space="preserve">Where a matter is disclosed in the report — including in the section listing what could not be resolved and what you need to obtain yourself — it has been disclosed.</w:t>
      </w:r>
    </w:p>
    <w:p>
      <w:pPr>
        <w:pStyle w:val="Heading1"/>
        <w:spacing w:after="130" w:before="280"/>
      </w:pPr>
      <w:r>
        <w:rPr>
          <w:rFonts w:ascii="Calibri" w:cs="Calibri" w:eastAsia="Calibri" w:hAnsi="Calibri"/>
          <w:b/>
          <w:bCs/>
          <w:color w:val="0F5C50"/>
          <w:sz w:val="24"/>
          <w:szCs w:val="24"/>
        </w:rPr>
        <w:t>Snapshots and upgrades</w:t>
      </w:r>
    </w:p>
    <w:p>
      <w:pPr>
        <w:spacing w:after="120" w:line="258"/>
      </w:pPr>
      <w:r>
        <w:rPr>
          <w:rFonts w:ascii="Calibri" w:cs="Calibri" w:eastAsia="Calibri" w:hAnsi="Calibri"/>
          <w:color w:val="333F46"/>
          <w:sz w:val="19"/>
          <w:szCs w:val="19"/>
        </w:rPr>
        <w:t>A Subdivision Snapshot is covered by this policy in the same way as a full report. A Snapshot does not contain everything the full report contains, and that is not a reason for a refund: what it includes is set out in our Terms of Sale before you buy.</w:t>
      </w:r>
    </w:p>
    <w:p>
      <w:pPr>
        <w:spacing w:after="120" w:line="258"/>
      </w:pPr>
      <w:r>
        <w:rPr>
          <w:rFonts w:ascii="Calibri" w:cs="Calibri" w:eastAsia="Calibri" w:hAnsi="Calibri"/>
          <w:color w:val="333F46"/>
          <w:sz w:val="19"/>
          <w:szCs w:val="19"/>
        </w:rPr>
        <w:t>If you upgrade a Snapshot to the full report, the upgrade is a separate order and any refund of it is of the amount you paid for the upgrade. If a Snapshot is refunded, its upgrade credit lapses.</w:t>
      </w:r>
    </w:p>
    <w:p>
      <w:pPr>
        <w:pStyle w:val="Heading1"/>
        <w:spacing w:after="130" w:before="280"/>
      </w:pPr>
      <w:r>
        <w:rPr>
          <w:rFonts w:ascii="Calibri" w:cs="Calibri" w:eastAsia="Calibri" w:hAnsi="Calibri"/>
          <w:b/>
          <w:bCs/>
          <w:color w:val="0F5C50"/>
          <w:sz w:val="24"/>
          <w:szCs w:val="24"/>
        </w:rPr>
        <w:t xml:space="preserve">How to raise a problem</w:t>
      </w:r>
    </w:p>
    <w:p>
      <w:pPr>
        <w:spacing w:after="120" w:line="258"/>
      </w:pPr>
      <w:r>
        <w:rPr>
          <w:rFonts w:ascii="Calibri" w:cs="Calibri" w:eastAsia="Calibri" w:hAnsi="Calibri"/>
          <w:color w:val="333F46"/>
          <w:sz w:val="19"/>
          <w:szCs w:val="19"/>
        </w:rPr>
        <w:t xml:space="preserve">Email hello@subdivisionchecker.com.au and tell us what is wrong. Please include your report number, which is on the first page, and point us at the specific finding you think is incorrect. The more precise you can be, the faster we can check it.</w:t>
      </w:r>
    </w:p>
    <w:p>
      <w:pPr>
        <w:spacing w:after="120" w:line="258"/>
      </w:pPr>
      <w:r>
        <w:rPr>
          <w:rFonts w:ascii="Calibri" w:cs="Calibri" w:eastAsia="Calibri" w:hAnsi="Calibri"/>
          <w:color w:val="333F46"/>
          <w:sz w:val="19"/>
          <w:szCs w:val="19"/>
        </w:rPr>
        <w:t xml:space="preserve">We will acknowledge your email within 2 business days and give you a substantive response within 30 days, usually much sooner. If we agree there is a problem, we will tell you what we propose to do about it. If we do not agree, we will tell you why, in writing, and tell you what you can do next.</w:t>
      </w:r>
    </w:p>
    <w:p>
      <w:pPr>
        <w:spacing w:after="120" w:line="258"/>
      </w:pPr>
      <w:r>
        <w:rPr>
          <w:rFonts w:ascii="Calibri" w:cs="Calibri" w:eastAsia="Calibri" w:hAnsi="Calibri"/>
          <w:b/>
          <w:bCs/>
          <w:color w:val="333F46"/>
          <w:sz w:val="19"/>
          <w:szCs w:val="19"/>
        </w:rPr>
        <w:t xml:space="preserve">We do not put a time limit on raising a problem, </w:t>
      </w:r>
      <w:r>
        <w:rPr>
          <w:rFonts w:ascii="Calibri" w:cs="Calibri" w:eastAsia="Calibri" w:hAnsi="Calibri"/>
          <w:color w:val="333F46"/>
          <w:sz w:val="19"/>
          <w:szCs w:val="19"/>
        </w:rPr>
        <w:t xml:space="preserve">we do not require you to give anything up as a condition of us dealing with it, and we will never ask you to remove a review or stay quiet in exchange for a refund.</w:t>
      </w:r>
    </w:p>
    <w:p>
      <w:pPr>
        <w:pStyle w:val="Heading1"/>
        <w:spacing w:after="130" w:before="280"/>
      </w:pPr>
      <w:r>
        <w:rPr>
          <w:rFonts w:ascii="Calibri" w:cs="Calibri" w:eastAsia="Calibri" w:hAnsi="Calibri"/>
          <w:b/>
          <w:bCs/>
          <w:color w:val="0F5C50"/>
          <w:sz w:val="24"/>
          <w:szCs w:val="24"/>
        </w:rPr>
        <w:t xml:space="preserve">How a refund is paid</w:t>
      </w:r>
    </w:p>
    <w:p>
      <w:pPr>
        <w:spacing w:after="120" w:line="258"/>
      </w:pPr>
      <w:r>
        <w:rPr>
          <w:rFonts w:ascii="Calibri" w:cs="Calibri" w:eastAsia="Calibri" w:hAnsi="Calibri"/>
          <w:color w:val="333F46"/>
          <w:sz w:val="19"/>
          <w:szCs w:val="19"/>
        </w:rPr>
        <w:t xml:space="preserve">Refunds go back to the card or account you paid from, through Stripe. They usually appear within 5 to 10 business days depending on your bank. We do not offer credit notes or store credit instead of a refund where a refund is owed.</w:t>
      </w:r>
    </w:p>
    <w:p>
      <w:pPr>
        <w:spacing w:after="120" w:line="258"/>
      </w:pPr>
      <w:r>
        <w:rPr>
          <w:rFonts w:ascii="Calibri" w:cs="Calibri" w:eastAsia="Calibri" w:hAnsi="Calibri"/>
          <w:color w:val="333F46"/>
          <w:sz w:val="19"/>
          <w:szCs w:val="19"/>
        </w:rPr>
        <w:t xml:space="preserve">If you have a problem with a report, please come to us before starting a chargeback with your bank. A chargeback is not a substitute for your rights under the Australian Consumer Law and it usually takes longer for you. Nothing in this paragraph prevents you from contacting your bank.</w:t>
      </w:r>
    </w:p>
    <w:p>
      <w:pPr>
        <w:pStyle w:val="Heading1"/>
        <w:spacing w:after="130" w:before="280"/>
      </w:pPr>
      <w:r>
        <w:rPr>
          <w:rFonts w:ascii="Calibri" w:cs="Calibri" w:eastAsia="Calibri" w:hAnsi="Calibri"/>
          <w:b/>
          <w:bCs/>
          <w:color w:val="0F5C50"/>
          <w:sz w:val="24"/>
          <w:szCs w:val="24"/>
        </w:rPr>
        <w:t xml:space="preserve">If you are not satisfied with our decision</w:t>
      </w:r>
    </w:p>
    <w:p>
      <w:pPr>
        <w:spacing w:after="120" w:line="258"/>
      </w:pPr>
      <w:r>
        <w:rPr>
          <w:rFonts w:ascii="Calibri" w:cs="Calibri" w:eastAsia="Calibri" w:hAnsi="Calibri"/>
          <w:color w:val="333F46"/>
          <w:sz w:val="19"/>
          <w:szCs w:val="19"/>
        </w:rPr>
        <w:t xml:space="preserve">Tell us, and we will look at it again. If we still cannot agree, you can contact Consumer Protection at the Department of Local Government, Industry Regulation and Safety in Western Australia (consumerprotection.wa.gov.au), or the consumer protection regulator in your own state or territory. You may also be able to take the matter to a tribunal where you live.</w:t>
      </w:r>
    </w:p>
    <w:p>
      <w:pPr>
        <w:pBdr>
          <w:bottom w:val="single" w:color="D6DEE3" w:sz="6" w:space="8"/>
        </w:pBdr>
        <w:spacing w:after="160" w:before="140"/>
      </w:pPr>
      <w:r>
        <w:rPr>
          <w:sz w:val="2"/>
          <w:szCs w:val="2"/>
        </w:rPr>
        <w:t xml:space="preserve"/>
      </w:r>
    </w:p>
    <w:p>
      <w:pPr>
        <w:spacing w:after="0" w:line="258"/>
      </w:pPr>
      <w:r>
        <w:rPr>
          <w:rFonts w:ascii="Calibri" w:cs="Calibri" w:eastAsia="Calibri" w:hAnsi="Calibri"/>
          <w:color w:val="333F46"/>
          <w:sz w:val="19"/>
          <w:szCs w:val="19"/>
        </w:rPr>
        <w:t>Version 1.2, 13 October 2026. Forge BC Pty Ltd (ABN 11 669 059 054), hello@subdivisionchecker.com.au, PO Box 4419, Baldivis WA 6171.</w:t>
      </w:r>
    </w:p>
    <w:sectPr>
      <w:headerReference w:type="default" r:id="rId8"/>
      <w:footerReference w:type="default" r:id="rId9"/>
      <w:headerReference w:type="first" r:id="rId10"/>
      <w:footerReference w:type="first" r:id="rId11"/>
      <w:headerReference w:type="even" r:id="rId12"/>
      <w:footerReference w:type="even" r:id="rId13"/>
      <w:pgSz w:w="11906" w:h="16838" w:orient="portrait"/>
      <w:pgMar w:top="1080" w:right="1200" w:bottom="10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eader" Target="header2.xml"/><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2026-08-27T13:18:12.344Z</dcterms:created>
  <dcterms:modified xsi:type="dcterms:W3CDTF">2026-08-27T13:18:12.344Z</dcterms:modified>
</cp:coreProperties>
</file>

<file path=docProps/custom.xml><?xml version="1.0" encoding="utf-8"?>
<Properties xmlns="http://schemas.openxmlformats.org/officeDocument/2006/custom-properties" xmlns:vt="http://schemas.openxmlformats.org/officeDocument/2006/docPropsVTypes"/>
</file>